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06F9" w14:textId="77777777" w:rsidR="00A33873" w:rsidRDefault="00A33873" w:rsidP="00D753FD">
      <w:pPr>
        <w:pStyle w:val="Geenafstand"/>
        <w:jc w:val="center"/>
        <w:rPr>
          <w:b/>
          <w:sz w:val="36"/>
          <w:szCs w:val="36"/>
        </w:rPr>
      </w:pPr>
    </w:p>
    <w:p w14:paraId="30CB0AEB" w14:textId="2A0892B4" w:rsidR="002C465C" w:rsidRPr="00666337" w:rsidRDefault="00A00539" w:rsidP="00D753FD">
      <w:pPr>
        <w:pStyle w:val="Geenafstand"/>
        <w:jc w:val="center"/>
        <w:rPr>
          <w:b/>
          <w:sz w:val="36"/>
          <w:szCs w:val="36"/>
          <w:lang w:val="es-ES"/>
        </w:rPr>
      </w:pPr>
      <w:r>
        <w:rPr>
          <w:b/>
          <w:sz w:val="36"/>
          <w:szCs w:val="36"/>
        </w:rPr>
        <w:t xml:space="preserve">KOOP - </w:t>
      </w:r>
      <w:r w:rsidR="00E64947">
        <w:rPr>
          <w:b/>
          <w:sz w:val="36"/>
          <w:szCs w:val="36"/>
        </w:rPr>
        <w:t>ONTWIKKEL</w:t>
      </w:r>
      <w:r w:rsidR="00D753FD" w:rsidRPr="00666337">
        <w:rPr>
          <w:b/>
          <w:sz w:val="36"/>
          <w:szCs w:val="36"/>
        </w:rPr>
        <w:t>OVEREENKOMST</w:t>
      </w:r>
    </w:p>
    <w:p w14:paraId="28DC7FB3" w14:textId="08BB1B10" w:rsidR="009D1B43" w:rsidRDefault="007F0642" w:rsidP="007F0642">
      <w:pPr>
        <w:pStyle w:val="Geenafstand"/>
        <w:jc w:val="center"/>
        <w:rPr>
          <w:lang w:val="es-ES"/>
        </w:rPr>
      </w:pPr>
      <w:r w:rsidRPr="007F0642">
        <w:t>P</w:t>
      </w:r>
      <w:r w:rsidR="009D1B43" w:rsidRPr="007F0642">
        <w:rPr>
          <w:lang w:val="es-ES"/>
        </w:rPr>
        <w:t>l</w:t>
      </w:r>
      <w:r w:rsidR="009D1B43">
        <w:rPr>
          <w:lang w:val="es-ES"/>
        </w:rPr>
        <w:t xml:space="preserve">angebied: </w:t>
      </w:r>
      <w:r w:rsidR="00B15E0C">
        <w:rPr>
          <w:lang w:val="es-ES"/>
        </w:rPr>
        <w:t>Cedelshof Kollumersweach</w:t>
      </w:r>
    </w:p>
    <w:p w14:paraId="3A053627" w14:textId="74FB49B6" w:rsidR="009D1B43" w:rsidRDefault="009D1B43" w:rsidP="00AA0F28">
      <w:pPr>
        <w:rPr>
          <w:lang w:val="es-ES"/>
        </w:rPr>
      </w:pPr>
    </w:p>
    <w:p w14:paraId="6747B942" w14:textId="27B998BD" w:rsidR="009D1B43" w:rsidRDefault="009D1B43" w:rsidP="00AA0F28">
      <w:pPr>
        <w:rPr>
          <w:lang w:val="es-ES"/>
        </w:rPr>
      </w:pPr>
      <w:r>
        <w:rPr>
          <w:lang w:val="es-ES"/>
        </w:rPr>
        <w:t>Partijen:</w:t>
      </w:r>
    </w:p>
    <w:p w14:paraId="2B3BA542" w14:textId="3862FDEB" w:rsidR="002C465C" w:rsidRPr="00775C33" w:rsidRDefault="00E56DA5" w:rsidP="00E56DA5">
      <w:pPr>
        <w:ind w:left="705" w:hanging="705"/>
      </w:pPr>
      <w:r>
        <w:t>Sub 1.</w:t>
      </w:r>
      <w:r>
        <w:tab/>
      </w:r>
      <w:r w:rsidR="00D753FD" w:rsidRPr="00D753FD">
        <w:t xml:space="preserve">De publiekrechtelijke rechtspersoon gemeente </w:t>
      </w:r>
      <w:r w:rsidR="009B7561">
        <w:t>Noardeast-Fryslân</w:t>
      </w:r>
      <w:r w:rsidR="00D753FD">
        <w:t>,</w:t>
      </w:r>
      <w:r w:rsidR="00D753FD" w:rsidRPr="00D753FD">
        <w:t xml:space="preserve"> gevestigd aan de </w:t>
      </w:r>
      <w:r w:rsidR="009B7561">
        <w:t>Koningstraat 13</w:t>
      </w:r>
      <w:r w:rsidR="00D753FD">
        <w:t xml:space="preserve"> te </w:t>
      </w:r>
      <w:r w:rsidR="009B7561">
        <w:t>Dokkum</w:t>
      </w:r>
      <w:r w:rsidR="00D753FD" w:rsidRPr="00D753FD">
        <w:t>, in deze vertegenwoordigd</w:t>
      </w:r>
      <w:r w:rsidR="00D753FD">
        <w:t xml:space="preserve"> door haar burgemeester, </w:t>
      </w:r>
      <w:r w:rsidR="009D1B43">
        <w:t xml:space="preserve">ter uitvoering van het besluit van burgemeester en wethouders </w:t>
      </w:r>
      <w:proofErr w:type="spellStart"/>
      <w:r w:rsidR="009D1B43">
        <w:t>dd</w:t>
      </w:r>
      <w:proofErr w:type="spellEnd"/>
      <w:r w:rsidR="00310422">
        <w:t xml:space="preserve"> </w:t>
      </w:r>
      <w:r w:rsidR="00A60AF3">
        <w:t xml:space="preserve">      </w:t>
      </w:r>
      <w:r w:rsidR="00D753FD" w:rsidRPr="00D753FD">
        <w:t>hierna te noemen: “</w:t>
      </w:r>
      <w:r w:rsidR="00D753FD" w:rsidRPr="00D753FD">
        <w:rPr>
          <w:b/>
        </w:rPr>
        <w:t xml:space="preserve">de </w:t>
      </w:r>
      <w:r w:rsidR="009D1B43">
        <w:rPr>
          <w:b/>
        </w:rPr>
        <w:t xml:space="preserve">eigenaar” </w:t>
      </w:r>
      <w:r w:rsidR="009D1B43" w:rsidRPr="009D1B43">
        <w:rPr>
          <w:bCs/>
        </w:rPr>
        <w:t xml:space="preserve">of </w:t>
      </w:r>
      <w:r w:rsidR="009D1B43">
        <w:rPr>
          <w:bCs/>
        </w:rPr>
        <w:t>“</w:t>
      </w:r>
      <w:r w:rsidR="009D1B43">
        <w:rPr>
          <w:b/>
        </w:rPr>
        <w:t>de gemeente</w:t>
      </w:r>
      <w:r w:rsidR="00D753FD" w:rsidRPr="00D753FD">
        <w:t>”</w:t>
      </w:r>
      <w:r w:rsidR="00D753FD">
        <w:t>,</w:t>
      </w:r>
    </w:p>
    <w:p w14:paraId="311210C1" w14:textId="55D7B2CB" w:rsidR="009D1B43" w:rsidRDefault="009D1B43" w:rsidP="00AA0F28">
      <w:r>
        <w:t>en</w:t>
      </w:r>
    </w:p>
    <w:p w14:paraId="22803D55" w14:textId="77777777" w:rsidR="009D1B43" w:rsidRPr="00775C33" w:rsidRDefault="009D1B43" w:rsidP="00AA0F28"/>
    <w:p w14:paraId="296F588D" w14:textId="47509375" w:rsidR="00AB09BE" w:rsidRDefault="009D1B43" w:rsidP="00AB09BE">
      <w:pPr>
        <w:ind w:left="705" w:hanging="705"/>
        <w:jc w:val="both"/>
        <w:rPr>
          <w:b/>
        </w:rPr>
      </w:pPr>
      <w:r>
        <w:rPr>
          <w:rFonts w:cs="Arial"/>
          <w:color w:val="232121"/>
          <w:shd w:val="clear" w:color="auto" w:fill="FFFFFF"/>
        </w:rPr>
        <w:t>Sub 2. gevestigd aan, , rechtsgeldig vertegenwoordigd door</w:t>
      </w:r>
      <w:r w:rsidRPr="009D1B43">
        <w:rPr>
          <w:rFonts w:cs="Arial"/>
          <w:color w:val="000000"/>
        </w:rPr>
        <w:t xml:space="preserve">, </w:t>
      </w:r>
      <w:r>
        <w:rPr>
          <w:rFonts w:cs="Arial"/>
          <w:color w:val="000000"/>
        </w:rPr>
        <w:t>geboren op,</w:t>
      </w:r>
      <w:r w:rsidRPr="009D1B43">
        <w:rPr>
          <w:rFonts w:cs="Arial"/>
          <w:color w:val="000000"/>
        </w:rPr>
        <w:t xml:space="preserve"> </w:t>
      </w:r>
      <w:r w:rsidR="00440420">
        <w:rPr>
          <w:rFonts w:cs="Arial"/>
          <w:color w:val="000000"/>
        </w:rPr>
        <w:t>(functie)</w:t>
      </w:r>
      <w:r w:rsidRPr="009D1B43">
        <w:rPr>
          <w:rFonts w:cs="Arial"/>
          <w:color w:val="000000"/>
        </w:rPr>
        <w:t xml:space="preserve"> </w:t>
      </w:r>
      <w:r w:rsidR="00FA7C78" w:rsidRPr="00FA7C78">
        <w:t xml:space="preserve"> </w:t>
      </w:r>
      <w:r w:rsidR="00FA7C78" w:rsidRPr="00956963">
        <w:t xml:space="preserve">hierna te noemen: </w:t>
      </w:r>
      <w:r w:rsidR="00FA7C78" w:rsidRPr="00956963">
        <w:rPr>
          <w:b/>
        </w:rPr>
        <w:t>“</w:t>
      </w:r>
      <w:r w:rsidR="00FA7C78">
        <w:rPr>
          <w:b/>
        </w:rPr>
        <w:t>ontwikkelaar</w:t>
      </w:r>
      <w:r w:rsidR="00FA7C78" w:rsidRPr="00956963">
        <w:rPr>
          <w:b/>
        </w:rPr>
        <w:t>”</w:t>
      </w:r>
      <w:r w:rsidR="00FA7C78">
        <w:rPr>
          <w:b/>
        </w:rPr>
        <w:t xml:space="preserve"> of “</w:t>
      </w:r>
      <w:proofErr w:type="spellStart"/>
      <w:r w:rsidR="00440420" w:rsidRPr="00B15E0C">
        <w:rPr>
          <w:b/>
          <w:color w:val="FF0000"/>
        </w:rPr>
        <w:t>xxxxxxxxxx</w:t>
      </w:r>
      <w:proofErr w:type="spellEnd"/>
      <w:r w:rsidR="00FA7C78">
        <w:rPr>
          <w:b/>
        </w:rPr>
        <w:t>”</w:t>
      </w:r>
      <w:r w:rsidR="00FA7C78" w:rsidRPr="00956963">
        <w:rPr>
          <w:b/>
        </w:rPr>
        <w:t>,</w:t>
      </w:r>
      <w:r w:rsidR="00AB09BE">
        <w:rPr>
          <w:b/>
        </w:rPr>
        <w:t xml:space="preserve"> </w:t>
      </w:r>
    </w:p>
    <w:p w14:paraId="642A9436" w14:textId="77777777" w:rsidR="00AB09BE" w:rsidRDefault="00AB09BE" w:rsidP="00AB09BE">
      <w:pPr>
        <w:ind w:left="705" w:hanging="705"/>
        <w:jc w:val="both"/>
      </w:pPr>
    </w:p>
    <w:p w14:paraId="4473D0D8" w14:textId="0DA394E8" w:rsidR="009D1B43" w:rsidRDefault="002C747A" w:rsidP="00AB09BE">
      <w:pPr>
        <w:jc w:val="both"/>
      </w:pPr>
      <w:r>
        <w:t>Die</w:t>
      </w:r>
      <w:r w:rsidR="009D1B43">
        <w:t xml:space="preserve"> </w:t>
      </w:r>
      <w:r w:rsidR="009D1B43" w:rsidRPr="00775C33">
        <w:t>verklar</w:t>
      </w:r>
      <w:r w:rsidR="00FA7C78">
        <w:t>en</w:t>
      </w:r>
      <w:r w:rsidR="009D1B43" w:rsidRPr="00775C33">
        <w:t xml:space="preserve"> </w:t>
      </w:r>
      <w:r w:rsidR="00375511">
        <w:t xml:space="preserve">gronden aan </w:t>
      </w:r>
      <w:r w:rsidR="00B15E0C">
        <w:t xml:space="preserve">het </w:t>
      </w:r>
      <w:proofErr w:type="spellStart"/>
      <w:r w:rsidR="00B15E0C">
        <w:t>Cedelshof</w:t>
      </w:r>
      <w:proofErr w:type="spellEnd"/>
      <w:r w:rsidR="00B15E0C">
        <w:t xml:space="preserve"> te </w:t>
      </w:r>
      <w:proofErr w:type="spellStart"/>
      <w:r w:rsidR="00B15E0C">
        <w:t>Kollumersweach</w:t>
      </w:r>
      <w:proofErr w:type="spellEnd"/>
      <w:r w:rsidR="00B15E0C">
        <w:t xml:space="preserve"> </w:t>
      </w:r>
      <w:r w:rsidR="009D1B43" w:rsidRPr="00775C33">
        <w:t xml:space="preserve">te hebben </w:t>
      </w:r>
      <w:r w:rsidR="00375511">
        <w:t>verkocht en ge</w:t>
      </w:r>
      <w:r w:rsidR="009D1B43" w:rsidRPr="00775C33">
        <w:t xml:space="preserve">kocht </w:t>
      </w:r>
      <w:r w:rsidR="009D1B43">
        <w:t>voor de ontwikkeling van</w:t>
      </w:r>
      <w:r w:rsidR="00A60AF3">
        <w:t xml:space="preserve"> </w:t>
      </w:r>
      <w:proofErr w:type="spellStart"/>
      <w:r w:rsidR="00A60AF3" w:rsidRPr="00B15E0C">
        <w:rPr>
          <w:color w:val="FF0000"/>
        </w:rPr>
        <w:t>xxxx</w:t>
      </w:r>
      <w:proofErr w:type="spellEnd"/>
      <w:r w:rsidR="009D1B43">
        <w:t xml:space="preserve"> woningen</w:t>
      </w:r>
      <w:r w:rsidR="00375511">
        <w:t>.</w:t>
      </w:r>
    </w:p>
    <w:p w14:paraId="1E6476B8" w14:textId="0F2B3BB3" w:rsidR="009D1B43" w:rsidRDefault="009D1B43" w:rsidP="00AA0F28"/>
    <w:p w14:paraId="0244F1A3" w14:textId="77777777" w:rsidR="00205DB5" w:rsidRPr="009909F4" w:rsidRDefault="00D07F29" w:rsidP="00AA0F28">
      <w:pPr>
        <w:rPr>
          <w:b/>
          <w:u w:val="single"/>
        </w:rPr>
      </w:pPr>
      <w:r w:rsidRPr="009909F4">
        <w:rPr>
          <w:b/>
          <w:u w:val="single"/>
        </w:rPr>
        <w:t>V</w:t>
      </w:r>
      <w:r w:rsidR="00205DB5" w:rsidRPr="009909F4">
        <w:rPr>
          <w:b/>
          <w:u w:val="single"/>
        </w:rPr>
        <w:t>erkochte</w:t>
      </w:r>
    </w:p>
    <w:p w14:paraId="21555EE8" w14:textId="5A6CF00B" w:rsidR="00F4349E" w:rsidRPr="00E4053A" w:rsidRDefault="002C747A" w:rsidP="00F4349E">
      <w:pPr>
        <w:jc w:val="both"/>
      </w:pPr>
      <w:r w:rsidRPr="00956963">
        <w:t>Een</w:t>
      </w:r>
      <w:r w:rsidR="00F4349E" w:rsidRPr="00E4053A">
        <w:t xml:space="preserve"> strook onbebouwde grond gelegen </w:t>
      </w:r>
      <w:r w:rsidR="00D409EF">
        <w:t xml:space="preserve">in het uitbreidingsplan </w:t>
      </w:r>
      <w:proofErr w:type="spellStart"/>
      <w:r w:rsidR="00B15E0C">
        <w:t>Cedelshof</w:t>
      </w:r>
      <w:proofErr w:type="spellEnd"/>
      <w:r w:rsidR="00D409EF">
        <w:t xml:space="preserve"> 3.1. te </w:t>
      </w:r>
      <w:proofErr w:type="spellStart"/>
      <w:r w:rsidR="00D409EF">
        <w:t>Kollumersweach</w:t>
      </w:r>
      <w:proofErr w:type="spellEnd"/>
      <w:r w:rsidR="00F4349E" w:rsidRPr="00E4053A">
        <w:t>, ter grootte van ca.</w:t>
      </w:r>
      <w:r w:rsidR="00B15E0C">
        <w:t xml:space="preserve"> </w:t>
      </w:r>
      <w:r w:rsidR="00D409EF">
        <w:rPr>
          <w:color w:val="FF0000"/>
        </w:rPr>
        <w:t>1630</w:t>
      </w:r>
      <w:r w:rsidR="00B15E0C">
        <w:t xml:space="preserve"> </w:t>
      </w:r>
      <w:r w:rsidR="00F4349E" w:rsidRPr="00E4053A">
        <w:t>m</w:t>
      </w:r>
      <w:r w:rsidR="00F4349E" w:rsidRPr="00E4053A">
        <w:rPr>
          <w:vertAlign w:val="superscript"/>
        </w:rPr>
        <w:t>2</w:t>
      </w:r>
      <w:r w:rsidR="00F4349E" w:rsidRPr="00E4053A">
        <w:t xml:space="preserve">, kadastraal bekend gemeente </w:t>
      </w:r>
      <w:r w:rsidR="00D409EF">
        <w:t>Westergeest</w:t>
      </w:r>
      <w:r w:rsidR="00F4349E" w:rsidRPr="00E4053A">
        <w:t xml:space="preserve">, sectie </w:t>
      </w:r>
      <w:r w:rsidR="00D409EF">
        <w:t>F</w:t>
      </w:r>
      <w:r w:rsidR="00F4349E" w:rsidRPr="00E4053A">
        <w:t xml:space="preserve"> nummer </w:t>
      </w:r>
      <w:r w:rsidR="00D409EF">
        <w:t>1217</w:t>
      </w:r>
      <w:r w:rsidR="00A60AF3">
        <w:t xml:space="preserve"> deels</w:t>
      </w:r>
      <w:r w:rsidR="00F4349E" w:rsidRPr="00E4053A">
        <w:t>, zoals op de aan deze overeenkomst gehechte kaveltekening (</w:t>
      </w:r>
      <w:proofErr w:type="spellStart"/>
      <w:r w:rsidR="00A60AF3" w:rsidRPr="00B15E0C">
        <w:rPr>
          <w:color w:val="FF0000"/>
        </w:rPr>
        <w:t>xxxxxx</w:t>
      </w:r>
      <w:proofErr w:type="spellEnd"/>
      <w:r w:rsidR="00A60AF3">
        <w:t>)</w:t>
      </w:r>
      <w:r w:rsidR="00F4349E" w:rsidRPr="00E4053A">
        <w:t xml:space="preserve"> in kleur is aangegeven (bijlage </w:t>
      </w:r>
      <w:r w:rsidR="005111E6">
        <w:t>2</w:t>
      </w:r>
      <w:r w:rsidR="00F4349E" w:rsidRPr="00E4053A">
        <w:t>),</w:t>
      </w:r>
      <w:r w:rsidR="002D7CA4" w:rsidRPr="002D7CA4">
        <w:rPr>
          <w:rFonts w:eastAsiaTheme="minorHAnsi" w:cs="Arial"/>
          <w:lang w:eastAsia="en-US"/>
        </w:rPr>
        <w:t xml:space="preserve"> </w:t>
      </w:r>
      <w:r w:rsidR="002D7CA4" w:rsidRPr="002D7CA4">
        <w:t>hierna ook te noemen het verkochte</w:t>
      </w:r>
    </w:p>
    <w:p w14:paraId="16859B9B" w14:textId="1EAF434E" w:rsidR="00634EDE" w:rsidRDefault="00634EDE" w:rsidP="00F4349E">
      <w:pPr>
        <w:jc w:val="both"/>
      </w:pPr>
    </w:p>
    <w:p w14:paraId="66EB9AE2" w14:textId="77777777" w:rsidR="00861C05" w:rsidRPr="00A60AF3" w:rsidRDefault="00205DB5" w:rsidP="00AA0F28">
      <w:pPr>
        <w:rPr>
          <w:rFonts w:cs="Arial"/>
          <w:b/>
          <w:u w:val="single"/>
        </w:rPr>
      </w:pPr>
      <w:r w:rsidRPr="00A60AF3">
        <w:rPr>
          <w:rFonts w:cs="Arial"/>
          <w:b/>
          <w:u w:val="single"/>
        </w:rPr>
        <w:t>Koopprijs</w:t>
      </w:r>
    </w:p>
    <w:p w14:paraId="7297CA92" w14:textId="60F6B35F" w:rsidR="00F4349E" w:rsidRPr="00A60AF3" w:rsidRDefault="00F4349E" w:rsidP="00F4349E">
      <w:pPr>
        <w:jc w:val="both"/>
        <w:rPr>
          <w:rFonts w:cs="Arial"/>
        </w:rPr>
      </w:pPr>
      <w:r w:rsidRPr="00A60AF3">
        <w:rPr>
          <w:rFonts w:cs="Arial"/>
        </w:rPr>
        <w:t xml:space="preserve">De koopsom van het verkochte bedraagt </w:t>
      </w:r>
      <w:r w:rsidR="00A60AF3" w:rsidRPr="00A60AF3">
        <w:rPr>
          <w:rFonts w:cs="Arial"/>
        </w:rPr>
        <w:t xml:space="preserve">€ </w:t>
      </w:r>
      <w:r w:rsidR="001B6396">
        <w:rPr>
          <w:rFonts w:cs="Arial"/>
        </w:rPr>
        <w:t>220.050,-</w:t>
      </w:r>
      <w:r w:rsidRPr="00A60AF3">
        <w:rPr>
          <w:rFonts w:cs="Arial"/>
        </w:rPr>
        <w:t xml:space="preserve"> te vermeerderen met 21% BTW ad. </w:t>
      </w:r>
    </w:p>
    <w:p w14:paraId="4443263F" w14:textId="19E38AA5" w:rsidR="00F4349E" w:rsidRPr="00956963" w:rsidRDefault="00F4349E" w:rsidP="00F4349E">
      <w:pPr>
        <w:jc w:val="both"/>
      </w:pPr>
      <w:r w:rsidRPr="00A60AF3">
        <w:rPr>
          <w:rFonts w:cs="Arial"/>
        </w:rPr>
        <w:t>€</w:t>
      </w:r>
      <w:r w:rsidR="001B6396">
        <w:rPr>
          <w:rFonts w:cs="Arial"/>
        </w:rPr>
        <w:t xml:space="preserve"> </w:t>
      </w:r>
      <w:r w:rsidR="001B6396">
        <w:rPr>
          <w:rFonts w:cs="Arial"/>
          <w:color w:val="000000"/>
        </w:rPr>
        <w:t>46.210,50</w:t>
      </w:r>
      <w:r w:rsidRPr="00A60AF3">
        <w:rPr>
          <w:rFonts w:cs="Arial"/>
        </w:rPr>
        <w:t>. De totale koopsom inclusief BTW bedraagt derhalve €</w:t>
      </w:r>
      <w:r w:rsidR="001B6396">
        <w:rPr>
          <w:rFonts w:cs="Arial"/>
        </w:rPr>
        <w:t xml:space="preserve"> 266.260,50</w:t>
      </w:r>
      <w:r w:rsidR="00E4053A" w:rsidRPr="00A60AF3">
        <w:rPr>
          <w:rFonts w:cs="Arial"/>
        </w:rPr>
        <w:t xml:space="preserve"> </w:t>
      </w:r>
      <w:r w:rsidRPr="00A60AF3">
        <w:rPr>
          <w:rFonts w:cs="Arial"/>
        </w:rPr>
        <w:t>kosten koper</w:t>
      </w:r>
      <w:r w:rsidRPr="00956963">
        <w:t>.</w:t>
      </w:r>
    </w:p>
    <w:p w14:paraId="5F1F053E" w14:textId="77777777" w:rsidR="00F4349E" w:rsidRPr="00956963" w:rsidRDefault="00F4349E" w:rsidP="00F4349E">
      <w:pPr>
        <w:jc w:val="both"/>
        <w:rPr>
          <w:b/>
        </w:rPr>
      </w:pPr>
    </w:p>
    <w:p w14:paraId="54E26246" w14:textId="77777777" w:rsidR="00AB09BE" w:rsidRDefault="00E4053A" w:rsidP="00AB09BE">
      <w:pPr>
        <w:jc w:val="both"/>
        <w:rPr>
          <w:rFonts w:eastAsiaTheme="minorHAnsi" w:cs="Arial"/>
          <w:b/>
          <w:bCs/>
          <w:u w:val="single"/>
          <w:lang w:eastAsia="en-US"/>
        </w:rPr>
      </w:pPr>
      <w:r w:rsidRPr="00634EDE">
        <w:rPr>
          <w:rFonts w:eastAsiaTheme="minorHAnsi" w:cs="Arial"/>
          <w:b/>
          <w:bCs/>
          <w:u w:val="single"/>
          <w:lang w:eastAsia="en-US"/>
        </w:rPr>
        <w:t>Gebruik</w:t>
      </w:r>
    </w:p>
    <w:p w14:paraId="4019DE28" w14:textId="7D5DA4D6" w:rsidR="00E4053A" w:rsidRPr="00440420" w:rsidRDefault="00E4053A" w:rsidP="00440420">
      <w:pPr>
        <w:autoSpaceDE w:val="0"/>
        <w:autoSpaceDN w:val="0"/>
        <w:adjustRightInd w:val="0"/>
        <w:rPr>
          <w:rFonts w:cs="Arial"/>
        </w:rPr>
      </w:pPr>
      <w:r w:rsidRPr="00440420">
        <w:rPr>
          <w:rFonts w:cs="Arial"/>
        </w:rPr>
        <w:t>Koper zal het verkochte gebruiken als bouwterrein voor het realiseren van</w:t>
      </w:r>
      <w:r w:rsidR="002C747A" w:rsidRPr="00440420">
        <w:rPr>
          <w:rFonts w:cs="Arial"/>
        </w:rPr>
        <w:t xml:space="preserve"> </w:t>
      </w:r>
      <w:proofErr w:type="spellStart"/>
      <w:r w:rsidR="00A60AF3" w:rsidRPr="00B15E0C">
        <w:rPr>
          <w:rFonts w:cs="Arial"/>
          <w:color w:val="FF0000"/>
        </w:rPr>
        <w:t>x</w:t>
      </w:r>
      <w:r w:rsidR="00440420" w:rsidRPr="00B15E0C">
        <w:rPr>
          <w:rFonts w:cs="Arial"/>
          <w:color w:val="FF0000"/>
        </w:rPr>
        <w:t>xxx</w:t>
      </w:r>
      <w:proofErr w:type="spellEnd"/>
      <w:r w:rsidRPr="00440420">
        <w:rPr>
          <w:rFonts w:cs="Arial"/>
        </w:rPr>
        <w:t xml:space="preserve"> woningen</w:t>
      </w:r>
      <w:r w:rsidR="002D7CA4" w:rsidRPr="00440420">
        <w:rPr>
          <w:rFonts w:cs="Arial"/>
        </w:rPr>
        <w:t xml:space="preserve"> en overige werkzaamheden </w:t>
      </w:r>
      <w:r w:rsidR="00440420" w:rsidRPr="00440420">
        <w:rPr>
          <w:rFonts w:cs="Arial"/>
        </w:rPr>
        <w:t>z</w:t>
      </w:r>
      <w:r w:rsidR="00440420" w:rsidRPr="00440420">
        <w:rPr>
          <w:rFonts w:cs="Arial"/>
          <w:color w:val="000000"/>
        </w:rPr>
        <w:t>oals beschreven in de Gunningsleidraad en de bij inschrijving ingeleverde stukken voor de gunning.</w:t>
      </w:r>
      <w:r w:rsidRPr="00440420">
        <w:rPr>
          <w:rFonts w:cs="Arial"/>
        </w:rPr>
        <w:t xml:space="preserve"> Het is koper bekend dat de grond volgens het geldende </w:t>
      </w:r>
      <w:r w:rsidR="00440420" w:rsidRPr="00440420">
        <w:rPr>
          <w:rFonts w:cs="Arial"/>
        </w:rPr>
        <w:t>omgevingsplan de</w:t>
      </w:r>
      <w:r w:rsidRPr="00440420">
        <w:rPr>
          <w:rFonts w:cs="Arial"/>
        </w:rPr>
        <w:t xml:space="preserve"> enkelbestemming Woongebied heeft</w:t>
      </w:r>
      <w:r w:rsidR="002D7CA4" w:rsidRPr="00440420">
        <w:rPr>
          <w:rFonts w:cs="Arial"/>
        </w:rPr>
        <w:t>.</w:t>
      </w:r>
    </w:p>
    <w:p w14:paraId="3B6C7514" w14:textId="77777777" w:rsidR="00E4053A" w:rsidRPr="00775C33" w:rsidRDefault="00E4053A" w:rsidP="00E4053A"/>
    <w:p w14:paraId="110D2297" w14:textId="31B7D355" w:rsidR="0025660B" w:rsidRPr="009909F4" w:rsidRDefault="006D5B8F" w:rsidP="00AA0F28">
      <w:pPr>
        <w:rPr>
          <w:b/>
          <w:u w:val="single"/>
        </w:rPr>
      </w:pPr>
      <w:r w:rsidRPr="009909F4">
        <w:rPr>
          <w:b/>
          <w:u w:val="single"/>
        </w:rPr>
        <w:t>Voorwaarden</w:t>
      </w:r>
    </w:p>
    <w:p w14:paraId="2A1B55AE" w14:textId="0EE243BF" w:rsidR="00966C30" w:rsidRDefault="00AF5C5B" w:rsidP="00AA0F28">
      <w:r w:rsidRPr="00775C33">
        <w:t xml:space="preserve">Op </w:t>
      </w:r>
      <w:r w:rsidR="009909F4">
        <w:t xml:space="preserve">het verkochte </w:t>
      </w:r>
      <w:r w:rsidR="00F4349E">
        <w:t>zijn</w:t>
      </w:r>
      <w:r w:rsidR="009909F4">
        <w:t xml:space="preserve"> van toepassing hoofdstuk</w:t>
      </w:r>
      <w:r w:rsidR="00F4349E">
        <w:t>ken</w:t>
      </w:r>
      <w:r w:rsidR="009909F4">
        <w:t xml:space="preserve"> 1</w:t>
      </w:r>
      <w:r w:rsidR="00E4053A">
        <w:t xml:space="preserve"> en 2 </w:t>
      </w:r>
      <w:r w:rsidRPr="00775C33">
        <w:t xml:space="preserve">van de </w:t>
      </w:r>
      <w:r w:rsidR="009909F4">
        <w:t>“</w:t>
      </w:r>
      <w:r w:rsidR="00254E82">
        <w:t xml:space="preserve">Algemene </w:t>
      </w:r>
      <w:r w:rsidR="009909F4">
        <w:t>v</w:t>
      </w:r>
      <w:r w:rsidR="00254E82">
        <w:t xml:space="preserve">erkoopvoorwaarden van de gemeente </w:t>
      </w:r>
      <w:r w:rsidR="009909F4">
        <w:t>Noardeast-Fryslân”</w:t>
      </w:r>
      <w:r w:rsidR="00254E82">
        <w:t xml:space="preserve">, </w:t>
      </w:r>
      <w:r w:rsidR="00966C30" w:rsidRPr="00775C33">
        <w:t xml:space="preserve">vastgesteld bij besluit van de </w:t>
      </w:r>
      <w:r w:rsidR="00C56EAA">
        <w:t>gemeente</w:t>
      </w:r>
      <w:r w:rsidR="00966C30" w:rsidRPr="00775C33">
        <w:t>raad van</w:t>
      </w:r>
      <w:r w:rsidR="005B455E">
        <w:t xml:space="preserve"> 3 oktober 2019</w:t>
      </w:r>
      <w:r w:rsidR="007B782A">
        <w:t>,</w:t>
      </w:r>
      <w:r w:rsidR="00966C30" w:rsidRPr="00775C33">
        <w:t xml:space="preserve"> n</w:t>
      </w:r>
      <w:r w:rsidR="005B455E">
        <w:t>ummer 7</w:t>
      </w:r>
      <w:r w:rsidR="006D5B8F" w:rsidRPr="00775C33">
        <w:t>,</w:t>
      </w:r>
      <w:r w:rsidR="00966C30" w:rsidRPr="00775C33">
        <w:t xml:space="preserve"> </w:t>
      </w:r>
      <w:r w:rsidR="006D5B8F" w:rsidRPr="00775C33">
        <w:t xml:space="preserve">welke </w:t>
      </w:r>
      <w:r w:rsidR="00966C30" w:rsidRPr="00775C33">
        <w:t>met deze overeenkomst één onverbrekelijk geheel</w:t>
      </w:r>
      <w:r w:rsidR="006D5B8F" w:rsidRPr="00775C33">
        <w:t xml:space="preserve"> vormen</w:t>
      </w:r>
      <w:r w:rsidR="00966C30" w:rsidRPr="00775C33">
        <w:t>.</w:t>
      </w:r>
      <w:r w:rsidR="003C0BC0" w:rsidRPr="00775C33">
        <w:t xml:space="preserve"> Voorts vindt de verkoop plaats onder de navolgende </w:t>
      </w:r>
      <w:r w:rsidR="006D5B8F" w:rsidRPr="00775C33">
        <w:t>voorwaarden en beperkingen:</w:t>
      </w:r>
    </w:p>
    <w:p w14:paraId="194DB781" w14:textId="77777777" w:rsidR="00973FA7" w:rsidRDefault="00973FA7" w:rsidP="00AA0F28"/>
    <w:p w14:paraId="6FF5DC9A" w14:textId="3D447F17" w:rsidR="00973FA7" w:rsidRPr="00973FA7" w:rsidRDefault="00973FA7" w:rsidP="005031D9">
      <w:pPr>
        <w:pStyle w:val="Lijstalinea"/>
        <w:numPr>
          <w:ilvl w:val="0"/>
          <w:numId w:val="3"/>
        </w:numPr>
        <w:rPr>
          <w:b/>
          <w:bCs/>
        </w:rPr>
      </w:pPr>
      <w:r>
        <w:rPr>
          <w:b/>
          <w:bCs/>
        </w:rPr>
        <w:t>Levering van het gekochte</w:t>
      </w:r>
    </w:p>
    <w:p w14:paraId="758618E9" w14:textId="19CFC38C" w:rsidR="00D859BF" w:rsidRDefault="00D859BF" w:rsidP="00D859BF">
      <w:pPr>
        <w:numPr>
          <w:ilvl w:val="0"/>
          <w:numId w:val="2"/>
        </w:numPr>
        <w:tabs>
          <w:tab w:val="clear" w:pos="360"/>
        </w:tabs>
        <w:ind w:left="426" w:hanging="426"/>
      </w:pPr>
      <w:r>
        <w:t xml:space="preserve">Het passeren van de notariële akte van levering zal plaatsvinden bij notaris </w:t>
      </w:r>
      <w:proofErr w:type="spellStart"/>
      <w:r w:rsidR="00A60AF3" w:rsidRPr="00B15E0C">
        <w:rPr>
          <w:color w:val="FF0000"/>
        </w:rPr>
        <w:t>xxxxxxxxxxxxxxxxxx</w:t>
      </w:r>
      <w:proofErr w:type="spellEnd"/>
      <w:r w:rsidRPr="00B15E0C">
        <w:rPr>
          <w:color w:val="FF0000"/>
        </w:rPr>
        <w:t>.</w:t>
      </w:r>
    </w:p>
    <w:p w14:paraId="3F1EDA33" w14:textId="05EDBFB4" w:rsidR="006B0FE6" w:rsidRDefault="006B0FE6" w:rsidP="00D859BF">
      <w:pPr>
        <w:numPr>
          <w:ilvl w:val="0"/>
          <w:numId w:val="2"/>
        </w:numPr>
        <w:tabs>
          <w:tab w:val="clear" w:pos="360"/>
        </w:tabs>
        <w:ind w:left="426" w:hanging="426"/>
      </w:pPr>
      <w:r>
        <w:t>Alle kosten, rechten en belastingen met betrekking tot de verkoop en levering van het gekochte,</w:t>
      </w:r>
      <w:r w:rsidR="00D859BF">
        <w:t xml:space="preserve"> </w:t>
      </w:r>
      <w:r>
        <w:t>waaronder de kosten van de kadastrale meting zijn voor rekening van de koper.</w:t>
      </w:r>
    </w:p>
    <w:p w14:paraId="3BA4C8AC" w14:textId="77777777" w:rsidR="004461A2" w:rsidRDefault="004461A2" w:rsidP="004461A2">
      <w:pPr>
        <w:tabs>
          <w:tab w:val="num" w:pos="426"/>
        </w:tabs>
      </w:pPr>
    </w:p>
    <w:p w14:paraId="0EB48546" w14:textId="336B1979" w:rsidR="004461A2" w:rsidRPr="004461A2" w:rsidRDefault="004461A2" w:rsidP="005031D9">
      <w:pPr>
        <w:pStyle w:val="Lijstalinea"/>
        <w:numPr>
          <w:ilvl w:val="0"/>
          <w:numId w:val="3"/>
        </w:numPr>
        <w:tabs>
          <w:tab w:val="num" w:pos="426"/>
        </w:tabs>
        <w:rPr>
          <w:b/>
          <w:bCs/>
        </w:rPr>
      </w:pPr>
      <w:r>
        <w:rPr>
          <w:b/>
          <w:bCs/>
        </w:rPr>
        <w:t>Algemene Verkoopwaarden</w:t>
      </w:r>
    </w:p>
    <w:p w14:paraId="78ED31FF" w14:textId="3D4830A0" w:rsidR="002C465C" w:rsidRDefault="00660A6D" w:rsidP="005031D9">
      <w:pPr>
        <w:pStyle w:val="Lijstalinea"/>
        <w:numPr>
          <w:ilvl w:val="0"/>
          <w:numId w:val="4"/>
        </w:numPr>
        <w:tabs>
          <w:tab w:val="num" w:pos="426"/>
        </w:tabs>
      </w:pPr>
      <w:r w:rsidRPr="00775C33">
        <w:t>K</w:t>
      </w:r>
      <w:r w:rsidR="002C465C" w:rsidRPr="00775C33">
        <w:t xml:space="preserve">oper verklaart een gedrukt exemplaar van voormelde </w:t>
      </w:r>
      <w:r w:rsidR="00BD6878">
        <w:t>“</w:t>
      </w:r>
      <w:r w:rsidR="002C465C" w:rsidRPr="00775C33">
        <w:t xml:space="preserve">Algemene </w:t>
      </w:r>
      <w:r w:rsidR="00C56EAA">
        <w:t>V</w:t>
      </w:r>
      <w:r w:rsidR="00FF3AF8">
        <w:t>erkoopv</w:t>
      </w:r>
      <w:r w:rsidR="002C465C" w:rsidRPr="00775C33">
        <w:t xml:space="preserve">oorwaarden </w:t>
      </w:r>
      <w:r w:rsidR="00BD6878">
        <w:t>van de gemeente Noardeast-Fryslân”</w:t>
      </w:r>
      <w:r w:rsidR="009915B2">
        <w:t>, bijgevoegd als bijlage 1,</w:t>
      </w:r>
      <w:r w:rsidR="00BD6878">
        <w:t xml:space="preserve"> </w:t>
      </w:r>
      <w:r w:rsidR="002C465C" w:rsidRPr="00775C33">
        <w:t>te hebben ontvangen en met de inhoud daarvan bekend te zijn en akkoord te gaan. De koper aanvaardt uitdrukkelijk de uit deze Algemene Voorwaarden voortv</w:t>
      </w:r>
      <w:r w:rsidR="00647266">
        <w:t>loeiende lasten en beperkingen</w:t>
      </w:r>
      <w:r w:rsidR="00A33873">
        <w:t xml:space="preserve"> voor zover daar in deze overeenkomst niet van is afgeweken</w:t>
      </w:r>
      <w:r w:rsidR="002C465C" w:rsidRPr="00775C33">
        <w:t>.</w:t>
      </w:r>
    </w:p>
    <w:p w14:paraId="4494E284" w14:textId="1CED3EF7" w:rsidR="00A33873" w:rsidRDefault="00A33873" w:rsidP="005031D9">
      <w:pPr>
        <w:pStyle w:val="Lijstalinea"/>
        <w:numPr>
          <w:ilvl w:val="0"/>
          <w:numId w:val="4"/>
        </w:numPr>
        <w:tabs>
          <w:tab w:val="num" w:pos="426"/>
        </w:tabs>
      </w:pPr>
      <w:r>
        <w:t>In afwijking van de Algemene Verkoopvoorwaarden komen partijen overeen:</w:t>
      </w:r>
    </w:p>
    <w:p w14:paraId="3F6A7888" w14:textId="3AD51958" w:rsidR="00A33873" w:rsidRDefault="00A33873" w:rsidP="005031D9">
      <w:pPr>
        <w:pStyle w:val="Default"/>
        <w:numPr>
          <w:ilvl w:val="0"/>
          <w:numId w:val="5"/>
        </w:numPr>
        <w:rPr>
          <w:sz w:val="20"/>
          <w:szCs w:val="20"/>
        </w:rPr>
      </w:pPr>
      <w:r w:rsidRPr="00A33873">
        <w:rPr>
          <w:sz w:val="20"/>
          <w:szCs w:val="20"/>
        </w:rPr>
        <w:t>De koop</w:t>
      </w:r>
      <w:r w:rsidR="00D75123">
        <w:rPr>
          <w:sz w:val="20"/>
          <w:szCs w:val="20"/>
        </w:rPr>
        <w:t>- ontwikkelovereenkomst</w:t>
      </w:r>
      <w:r w:rsidRPr="00A33873">
        <w:rPr>
          <w:sz w:val="20"/>
          <w:szCs w:val="20"/>
        </w:rPr>
        <w:t xml:space="preserve"> wordt getekend binnen </w:t>
      </w:r>
      <w:r w:rsidR="00A60AF3">
        <w:rPr>
          <w:sz w:val="20"/>
          <w:szCs w:val="20"/>
        </w:rPr>
        <w:t>één</w:t>
      </w:r>
      <w:r w:rsidR="00D75123">
        <w:rPr>
          <w:sz w:val="20"/>
          <w:szCs w:val="20"/>
        </w:rPr>
        <w:t xml:space="preserve"> </w:t>
      </w:r>
      <w:r w:rsidRPr="00A33873">
        <w:rPr>
          <w:sz w:val="20"/>
          <w:szCs w:val="20"/>
        </w:rPr>
        <w:t xml:space="preserve">maand na de datum van de definitieve gunning. </w:t>
      </w:r>
    </w:p>
    <w:p w14:paraId="27B760C6" w14:textId="77777777" w:rsidR="00440420" w:rsidRPr="00440420" w:rsidRDefault="00A33873" w:rsidP="005031D9">
      <w:pPr>
        <w:pStyle w:val="Default"/>
        <w:numPr>
          <w:ilvl w:val="0"/>
          <w:numId w:val="5"/>
        </w:numPr>
        <w:rPr>
          <w:color w:val="auto"/>
          <w:sz w:val="20"/>
          <w:szCs w:val="20"/>
        </w:rPr>
      </w:pPr>
      <w:r w:rsidRPr="00973FA7">
        <w:rPr>
          <w:sz w:val="20"/>
          <w:szCs w:val="20"/>
        </w:rPr>
        <w:t xml:space="preserve">De levering en betaling van de te ontwikkelen </w:t>
      </w:r>
      <w:r w:rsidR="00D75123" w:rsidRPr="00973FA7">
        <w:rPr>
          <w:sz w:val="20"/>
          <w:szCs w:val="20"/>
        </w:rPr>
        <w:t>locatie</w:t>
      </w:r>
      <w:r w:rsidRPr="00973FA7">
        <w:rPr>
          <w:sz w:val="20"/>
          <w:szCs w:val="20"/>
        </w:rPr>
        <w:t xml:space="preserve"> geschiedt – in afwijking van artikel 1.7 van de Algemene verkoopvoorwaarden- </w:t>
      </w:r>
    </w:p>
    <w:p w14:paraId="7A32285D" w14:textId="545554AE" w:rsidR="00440420" w:rsidRDefault="00A33873" w:rsidP="00440420">
      <w:pPr>
        <w:pStyle w:val="Default"/>
        <w:numPr>
          <w:ilvl w:val="0"/>
          <w:numId w:val="30"/>
        </w:numPr>
        <w:ind w:left="709"/>
        <w:rPr>
          <w:color w:val="auto"/>
          <w:sz w:val="20"/>
          <w:szCs w:val="20"/>
        </w:rPr>
      </w:pPr>
      <w:r w:rsidRPr="00973FA7">
        <w:rPr>
          <w:sz w:val="20"/>
          <w:szCs w:val="20"/>
        </w:rPr>
        <w:t xml:space="preserve">binnen 1 (één) maand nadat er tenminste 50% van de te bouwen </w:t>
      </w:r>
      <w:r w:rsidRPr="00973FA7">
        <w:rPr>
          <w:color w:val="auto"/>
          <w:sz w:val="20"/>
          <w:szCs w:val="20"/>
        </w:rPr>
        <w:t>woningen zijn verkocht,</w:t>
      </w:r>
      <w:r w:rsidR="00440420">
        <w:rPr>
          <w:color w:val="auto"/>
          <w:sz w:val="20"/>
          <w:szCs w:val="20"/>
        </w:rPr>
        <w:t xml:space="preserve"> doch</w:t>
      </w:r>
      <w:r w:rsidRPr="00973FA7">
        <w:rPr>
          <w:color w:val="auto"/>
          <w:sz w:val="20"/>
          <w:szCs w:val="20"/>
        </w:rPr>
        <w:t xml:space="preserve"> </w:t>
      </w:r>
    </w:p>
    <w:p w14:paraId="785BA3ED" w14:textId="77777777" w:rsidR="00440420" w:rsidRDefault="00A33873" w:rsidP="00440420">
      <w:pPr>
        <w:pStyle w:val="Default"/>
        <w:numPr>
          <w:ilvl w:val="0"/>
          <w:numId w:val="30"/>
        </w:numPr>
        <w:ind w:left="709"/>
        <w:rPr>
          <w:color w:val="auto"/>
          <w:sz w:val="20"/>
          <w:szCs w:val="20"/>
        </w:rPr>
      </w:pPr>
      <w:r w:rsidRPr="00973FA7">
        <w:rPr>
          <w:color w:val="auto"/>
          <w:sz w:val="20"/>
          <w:szCs w:val="20"/>
        </w:rPr>
        <w:t>uiterlijk binnen één jaar na ondertekening van de koop</w:t>
      </w:r>
      <w:r w:rsidR="00D75123" w:rsidRPr="00973FA7">
        <w:rPr>
          <w:color w:val="auto"/>
          <w:sz w:val="20"/>
          <w:szCs w:val="20"/>
        </w:rPr>
        <w:t>-ontwikkel</w:t>
      </w:r>
      <w:r w:rsidRPr="00973FA7">
        <w:rPr>
          <w:color w:val="auto"/>
          <w:sz w:val="20"/>
          <w:szCs w:val="20"/>
        </w:rPr>
        <w:t>overeenkomst.</w:t>
      </w:r>
    </w:p>
    <w:p w14:paraId="7155A4D7" w14:textId="77777777" w:rsidR="00440420" w:rsidRDefault="00440420" w:rsidP="00440420">
      <w:pPr>
        <w:pStyle w:val="Default"/>
        <w:ind w:left="709"/>
        <w:rPr>
          <w:color w:val="auto"/>
          <w:sz w:val="20"/>
          <w:szCs w:val="20"/>
        </w:rPr>
      </w:pPr>
    </w:p>
    <w:p w14:paraId="07F2F954" w14:textId="7DA1C75C" w:rsidR="00A33873" w:rsidRDefault="00D87630" w:rsidP="00440420">
      <w:pPr>
        <w:pStyle w:val="Default"/>
        <w:ind w:left="709"/>
        <w:rPr>
          <w:color w:val="auto"/>
          <w:sz w:val="20"/>
          <w:szCs w:val="20"/>
        </w:rPr>
      </w:pPr>
      <w:r>
        <w:rPr>
          <w:color w:val="auto"/>
          <w:sz w:val="20"/>
          <w:szCs w:val="20"/>
        </w:rPr>
        <w:t>Indien niet binnen 1 (één) maand de levering en betaling plaatsvindt nadat er 50% van de woningen zijn verkocht, kan de gemeente de wettelijke rente over de koopsom in rekening brengen.</w:t>
      </w:r>
      <w:r w:rsidR="00A33873" w:rsidRPr="00973FA7">
        <w:rPr>
          <w:color w:val="auto"/>
          <w:sz w:val="20"/>
          <w:szCs w:val="20"/>
        </w:rPr>
        <w:t xml:space="preserve"> Koper geeft hiervoor inzage aan de verkoper met betrekking tot de aanmeldingen van potentiële kopers voor de te bouwen woningen </w:t>
      </w:r>
    </w:p>
    <w:p w14:paraId="6D7BD75E" w14:textId="168EFFDE" w:rsidR="00973FA7" w:rsidRDefault="00A33873" w:rsidP="005031D9">
      <w:pPr>
        <w:pStyle w:val="Default"/>
        <w:numPr>
          <w:ilvl w:val="0"/>
          <w:numId w:val="5"/>
        </w:numPr>
        <w:rPr>
          <w:color w:val="auto"/>
          <w:sz w:val="20"/>
          <w:szCs w:val="20"/>
        </w:rPr>
      </w:pPr>
      <w:r w:rsidRPr="00973FA7">
        <w:rPr>
          <w:color w:val="auto"/>
          <w:sz w:val="20"/>
          <w:szCs w:val="20"/>
        </w:rPr>
        <w:t>Ontbindende voorwaarde(n):</w:t>
      </w:r>
    </w:p>
    <w:p w14:paraId="6763D07C" w14:textId="52DD45B7" w:rsidR="00A33873" w:rsidRPr="00973FA7" w:rsidRDefault="00A33873" w:rsidP="00A60AF3">
      <w:pPr>
        <w:pStyle w:val="Default"/>
        <w:ind w:left="709"/>
        <w:rPr>
          <w:color w:val="auto"/>
          <w:sz w:val="20"/>
          <w:szCs w:val="20"/>
        </w:rPr>
      </w:pPr>
      <w:r w:rsidRPr="00973FA7">
        <w:rPr>
          <w:color w:val="auto"/>
          <w:sz w:val="20"/>
          <w:szCs w:val="20"/>
        </w:rPr>
        <w:t>In de volgende situatie(s) kan de koop</w:t>
      </w:r>
      <w:r w:rsidR="00D75123" w:rsidRPr="00973FA7">
        <w:rPr>
          <w:color w:val="auto"/>
          <w:sz w:val="20"/>
          <w:szCs w:val="20"/>
        </w:rPr>
        <w:t>-ontwikkelove</w:t>
      </w:r>
      <w:r w:rsidRPr="00973FA7">
        <w:rPr>
          <w:color w:val="auto"/>
          <w:sz w:val="20"/>
          <w:szCs w:val="20"/>
        </w:rPr>
        <w:t xml:space="preserve">reenkomst zowel door koper als door verkoper worden ontbonden zonder dat over en weer kosten en/of schade wordt vergoed, hoe dan ook genaamd, tenzij één van de partijen aantoonbaar nalatig is geweest: </w:t>
      </w:r>
    </w:p>
    <w:p w14:paraId="2AB98005" w14:textId="63FA5B6D" w:rsidR="00A60AF3" w:rsidRPr="004214CA" w:rsidRDefault="00A33873" w:rsidP="00440420">
      <w:pPr>
        <w:pStyle w:val="Lijstalinea"/>
        <w:numPr>
          <w:ilvl w:val="0"/>
          <w:numId w:val="31"/>
        </w:numPr>
        <w:ind w:left="993" w:hanging="284"/>
        <w:rPr>
          <w:rFonts w:cs="Arial"/>
        </w:rPr>
      </w:pPr>
      <w:r w:rsidRPr="00973FA7">
        <w:t xml:space="preserve">Er geen (onherroepelijke-) omgevingsvergunning voor de bouw wordt verleend die voldoet aan de voorwaarden die zijn opgenomen in het onderhavige </w:t>
      </w:r>
      <w:r w:rsidR="002C747A" w:rsidRPr="00973FA7">
        <w:t>bestemmingsplan/</w:t>
      </w:r>
      <w:r w:rsidRPr="00973FA7">
        <w:t xml:space="preserve"> omgevingsplan en de overige voorwaarden die gelden voor het verlenen van een omgevingsvergunning voor de bouw</w:t>
      </w:r>
      <w:r w:rsidR="00A60AF3">
        <w:t xml:space="preserve"> zonder dat dit de koper verwijtbaar is.</w:t>
      </w:r>
      <w:r w:rsidR="00A60AF3" w:rsidRPr="00A60AF3">
        <w:rPr>
          <w:rFonts w:cs="Arial"/>
        </w:rPr>
        <w:t xml:space="preserve"> </w:t>
      </w:r>
      <w:r w:rsidR="00A60AF3">
        <w:rPr>
          <w:rFonts w:cs="Arial"/>
        </w:rPr>
        <w:t>Partijen gaan hierover in overleg voordat er ontbonden kan worden.</w:t>
      </w:r>
    </w:p>
    <w:p w14:paraId="2F4EEB74" w14:textId="29710726" w:rsidR="00A33873" w:rsidRPr="00973FA7" w:rsidRDefault="00A33873" w:rsidP="00A60AF3">
      <w:pPr>
        <w:pStyle w:val="Default"/>
        <w:spacing w:after="13"/>
        <w:ind w:left="1440"/>
        <w:rPr>
          <w:color w:val="auto"/>
          <w:sz w:val="20"/>
          <w:szCs w:val="20"/>
        </w:rPr>
      </w:pPr>
    </w:p>
    <w:p w14:paraId="3028D810" w14:textId="5E326FB5" w:rsidR="00A33873" w:rsidRPr="00A33873" w:rsidRDefault="00A33873" w:rsidP="004461A2">
      <w:pPr>
        <w:pStyle w:val="Default"/>
        <w:ind w:left="708"/>
        <w:rPr>
          <w:color w:val="auto"/>
          <w:sz w:val="20"/>
          <w:szCs w:val="20"/>
        </w:rPr>
      </w:pPr>
      <w:r w:rsidRPr="00A33873">
        <w:rPr>
          <w:color w:val="auto"/>
          <w:sz w:val="20"/>
          <w:szCs w:val="20"/>
        </w:rPr>
        <w:t xml:space="preserve">De overeenkomst kan door de verkoper worden ontbonden zonder dat er kosten en/of schade wordt vergoed: </w:t>
      </w:r>
    </w:p>
    <w:p w14:paraId="29F5AB84" w14:textId="01A2A6CB" w:rsidR="00A33873" w:rsidRPr="00A33873" w:rsidRDefault="00A33873" w:rsidP="00440420">
      <w:pPr>
        <w:pStyle w:val="Default"/>
        <w:ind w:left="720"/>
        <w:rPr>
          <w:color w:val="auto"/>
          <w:sz w:val="20"/>
          <w:szCs w:val="20"/>
        </w:rPr>
      </w:pPr>
      <w:r w:rsidRPr="00A33873">
        <w:rPr>
          <w:color w:val="auto"/>
          <w:sz w:val="20"/>
          <w:szCs w:val="20"/>
        </w:rPr>
        <w:t>Indien er niet binnen één (1) jaar na ondertekening van de koop</w:t>
      </w:r>
      <w:r w:rsidR="00BD1E87">
        <w:rPr>
          <w:color w:val="auto"/>
          <w:sz w:val="20"/>
          <w:szCs w:val="20"/>
        </w:rPr>
        <w:t>- ontwikkel</w:t>
      </w:r>
      <w:r w:rsidRPr="00A33873">
        <w:rPr>
          <w:color w:val="auto"/>
          <w:sz w:val="20"/>
          <w:szCs w:val="20"/>
        </w:rPr>
        <w:t xml:space="preserve">overeenkomst een omgevingsvergunning voor de te bouwen woningen bij de gemeente is aangevraagd. </w:t>
      </w:r>
    </w:p>
    <w:p w14:paraId="759CF4B3" w14:textId="4A562DF1" w:rsidR="004461A2" w:rsidRPr="004461A2" w:rsidRDefault="00A33873" w:rsidP="005031D9">
      <w:pPr>
        <w:pStyle w:val="Default"/>
        <w:numPr>
          <w:ilvl w:val="0"/>
          <w:numId w:val="5"/>
        </w:numPr>
        <w:rPr>
          <w:color w:val="auto"/>
          <w:sz w:val="20"/>
          <w:szCs w:val="20"/>
        </w:rPr>
      </w:pPr>
      <w:r w:rsidRPr="00A33873">
        <w:rPr>
          <w:color w:val="auto"/>
          <w:sz w:val="20"/>
          <w:szCs w:val="20"/>
        </w:rPr>
        <w:t>Overige eisen en voorwaarden</w:t>
      </w:r>
      <w:r w:rsidR="004461A2">
        <w:rPr>
          <w:color w:val="auto"/>
          <w:sz w:val="20"/>
          <w:szCs w:val="20"/>
        </w:rPr>
        <w:t>:</w:t>
      </w:r>
    </w:p>
    <w:p w14:paraId="71EF5382" w14:textId="53CA919A" w:rsidR="00A33873" w:rsidRDefault="00A33873" w:rsidP="00A60AF3">
      <w:pPr>
        <w:pStyle w:val="Default"/>
        <w:ind w:left="708"/>
        <w:rPr>
          <w:color w:val="auto"/>
          <w:sz w:val="20"/>
          <w:szCs w:val="20"/>
        </w:rPr>
      </w:pPr>
      <w:r w:rsidRPr="00A33873">
        <w:rPr>
          <w:color w:val="auto"/>
          <w:sz w:val="20"/>
          <w:szCs w:val="20"/>
        </w:rPr>
        <w:t xml:space="preserve">Overdracht van rechten uit hoofde van de te sluiten ontwikkelovereenkomst voor voltooiing van de ontwikkeling behoeft de schriftelijke toestemming van de gemeente. De gemeente behoudt zich het recht voor om aan een dergelijke overdracht nadere voorwaarden te verbinden. </w:t>
      </w:r>
    </w:p>
    <w:p w14:paraId="64A15B71" w14:textId="77777777" w:rsidR="00A60AF3" w:rsidRDefault="00A33873" w:rsidP="008671B2">
      <w:pPr>
        <w:pStyle w:val="Default"/>
        <w:numPr>
          <w:ilvl w:val="0"/>
          <w:numId w:val="5"/>
        </w:numPr>
        <w:rPr>
          <w:color w:val="auto"/>
          <w:sz w:val="20"/>
          <w:szCs w:val="20"/>
        </w:rPr>
      </w:pPr>
      <w:r w:rsidRPr="00A60AF3">
        <w:rPr>
          <w:color w:val="auto"/>
          <w:sz w:val="20"/>
          <w:szCs w:val="20"/>
        </w:rPr>
        <w:t xml:space="preserve">De grond wordt door de gemeente geleverd in </w:t>
      </w:r>
      <w:r w:rsidR="00A60AF3" w:rsidRPr="00A60AF3">
        <w:rPr>
          <w:color w:val="auto"/>
          <w:sz w:val="20"/>
          <w:szCs w:val="20"/>
        </w:rPr>
        <w:t>bouwrijpe</w:t>
      </w:r>
      <w:r w:rsidRPr="00A60AF3">
        <w:rPr>
          <w:color w:val="auto"/>
          <w:sz w:val="20"/>
          <w:szCs w:val="20"/>
        </w:rPr>
        <w:t xml:space="preserve"> staat. </w:t>
      </w:r>
    </w:p>
    <w:p w14:paraId="00072966" w14:textId="77777777" w:rsidR="00A60AF3" w:rsidRPr="004214CA" w:rsidRDefault="00A60AF3" w:rsidP="00A60AF3">
      <w:pPr>
        <w:pStyle w:val="Lijstalinea"/>
        <w:numPr>
          <w:ilvl w:val="0"/>
          <w:numId w:val="5"/>
        </w:numPr>
        <w:rPr>
          <w:rFonts w:cs="Arial"/>
        </w:rPr>
      </w:pPr>
      <w:r w:rsidRPr="004214CA">
        <w:rPr>
          <w:rFonts w:cs="Arial"/>
        </w:rPr>
        <w:t>Art 1.7</w:t>
      </w:r>
      <w:r w:rsidRPr="004214CA">
        <w:rPr>
          <w:rFonts w:cs="Arial"/>
        </w:rPr>
        <w:tab/>
        <w:t>Passeren notariële akte van levering</w:t>
      </w:r>
    </w:p>
    <w:p w14:paraId="2DCBD4A5" w14:textId="20CFFBDD" w:rsidR="00A60AF3" w:rsidRDefault="00A60AF3" w:rsidP="00A60AF3">
      <w:pPr>
        <w:pStyle w:val="Lijstalinea"/>
        <w:ind w:left="720"/>
        <w:rPr>
          <w:rFonts w:cs="Arial"/>
        </w:rPr>
      </w:pPr>
      <w:r>
        <w:rPr>
          <w:rFonts w:cs="Arial"/>
        </w:rPr>
        <w:t>Zie 14a en 14b van de gunningsleidraad</w:t>
      </w:r>
    </w:p>
    <w:p w14:paraId="113828EC" w14:textId="4BD934EF" w:rsidR="00A60AF3" w:rsidRPr="00A60AF3" w:rsidRDefault="00A60AF3" w:rsidP="00F168D7">
      <w:pPr>
        <w:pStyle w:val="Lijstalinea"/>
        <w:numPr>
          <w:ilvl w:val="0"/>
          <w:numId w:val="5"/>
        </w:numPr>
        <w:rPr>
          <w:rFonts w:cs="Arial"/>
        </w:rPr>
      </w:pPr>
      <w:r w:rsidRPr="00A60AF3">
        <w:rPr>
          <w:rFonts w:cs="Arial"/>
        </w:rPr>
        <w:t>Verplichting zelfbewoning en verbod tot doorverkoop</w:t>
      </w:r>
    </w:p>
    <w:p w14:paraId="32869B3C" w14:textId="77777777" w:rsidR="00A60AF3" w:rsidRDefault="00A60AF3" w:rsidP="00A60AF3">
      <w:pPr>
        <w:pStyle w:val="Lijstalinea"/>
        <w:ind w:left="720"/>
        <w:rPr>
          <w:rFonts w:cs="Arial"/>
        </w:rPr>
      </w:pPr>
      <w:r w:rsidRPr="004214CA">
        <w:rPr>
          <w:rFonts w:cs="Arial"/>
        </w:rPr>
        <w:t>Niet van toepassing op de transactie tussen de gemeente en de ontwikkelaar. De ontwikkelaar dient deze bepaling echter wel op te nemen bij de verkoop van de woningen aan de eindgebruikers.</w:t>
      </w:r>
    </w:p>
    <w:p w14:paraId="155FFF43" w14:textId="34728E7C" w:rsidR="00A33873" w:rsidRPr="00A33873" w:rsidRDefault="00A33873" w:rsidP="005031D9">
      <w:pPr>
        <w:pStyle w:val="Lijstalinea"/>
        <w:numPr>
          <w:ilvl w:val="0"/>
          <w:numId w:val="5"/>
        </w:numPr>
      </w:pPr>
      <w:r w:rsidRPr="00A33873">
        <w:t>Bij de verkoop van het perceel of delen daarvan door de ontwikkelaar dienen de Algemene Verkoopvoorwaarden van de gemeente Noardeast-Fryslân ongewijzigd te worden gehanteerd.</w:t>
      </w:r>
    </w:p>
    <w:p w14:paraId="3EA409C2" w14:textId="77777777" w:rsidR="00446E21" w:rsidRPr="00A33873" w:rsidRDefault="00446E21" w:rsidP="00A33873">
      <w:pPr>
        <w:pStyle w:val="Lijstalinea"/>
        <w:tabs>
          <w:tab w:val="num" w:pos="426"/>
        </w:tabs>
        <w:ind w:left="426" w:hanging="426"/>
      </w:pPr>
    </w:p>
    <w:p w14:paraId="1EB174B0" w14:textId="399924C9" w:rsidR="00F2127C" w:rsidRPr="00F2127C" w:rsidRDefault="00F2127C" w:rsidP="005031D9">
      <w:pPr>
        <w:pStyle w:val="Lijstalinea"/>
        <w:numPr>
          <w:ilvl w:val="0"/>
          <w:numId w:val="3"/>
        </w:numPr>
        <w:tabs>
          <w:tab w:val="num" w:pos="426"/>
        </w:tabs>
      </w:pPr>
      <w:r>
        <w:rPr>
          <w:b/>
          <w:bCs/>
        </w:rPr>
        <w:t>Toepasselijk recht</w:t>
      </w:r>
    </w:p>
    <w:p w14:paraId="361736B6" w14:textId="75AC5B11" w:rsidR="00745F85" w:rsidRPr="00A33873" w:rsidRDefault="00446E21" w:rsidP="00F2127C">
      <w:pPr>
        <w:tabs>
          <w:tab w:val="num" w:pos="426"/>
        </w:tabs>
      </w:pPr>
      <w:r w:rsidRPr="00A33873">
        <w:t xml:space="preserve">Op deze overeenkomst is Nederlands </w:t>
      </w:r>
      <w:r w:rsidR="001B6116" w:rsidRPr="00A33873">
        <w:t xml:space="preserve">recht van toepassing. </w:t>
      </w:r>
    </w:p>
    <w:p w14:paraId="339AB8CA" w14:textId="77777777" w:rsidR="008405FF" w:rsidRPr="00A33873" w:rsidRDefault="008405FF" w:rsidP="00A33873">
      <w:pPr>
        <w:pStyle w:val="Lijstalinea"/>
        <w:tabs>
          <w:tab w:val="num" w:pos="426"/>
        </w:tabs>
        <w:ind w:left="426" w:hanging="426"/>
      </w:pPr>
    </w:p>
    <w:p w14:paraId="3545C296" w14:textId="77777777" w:rsidR="00A055D0" w:rsidRPr="00A055D0" w:rsidRDefault="00A055D0" w:rsidP="00A055D0">
      <w:pPr>
        <w:pStyle w:val="Lijstalinea"/>
        <w:numPr>
          <w:ilvl w:val="0"/>
          <w:numId w:val="3"/>
        </w:numPr>
        <w:tabs>
          <w:tab w:val="num" w:pos="426"/>
        </w:tabs>
        <w:rPr>
          <w:strike/>
        </w:rPr>
      </w:pPr>
      <w:r>
        <w:rPr>
          <w:b/>
          <w:bCs/>
        </w:rPr>
        <w:t>Gunningsleidraad</w:t>
      </w:r>
    </w:p>
    <w:p w14:paraId="252CB2BC" w14:textId="7D1A8258" w:rsidR="00F4349E" w:rsidRPr="00A055D0" w:rsidRDefault="00A055D0" w:rsidP="00A055D0">
      <w:pPr>
        <w:tabs>
          <w:tab w:val="num" w:pos="426"/>
        </w:tabs>
        <w:rPr>
          <w:strike/>
        </w:rPr>
      </w:pPr>
      <w:r>
        <w:t>De voorwaarden en eisen uit de gunningsleidraad, die is toegevoegd als bijlag</w:t>
      </w:r>
      <w:r w:rsidR="00205247">
        <w:t xml:space="preserve">e </w:t>
      </w:r>
      <w:r w:rsidR="005111E6">
        <w:t>3</w:t>
      </w:r>
      <w:r>
        <w:t>, maken onlosmakelijk deel uit van deze overeenkomst.</w:t>
      </w:r>
    </w:p>
    <w:p w14:paraId="3ED18B0C" w14:textId="77777777" w:rsidR="00F4349E" w:rsidRPr="00A33873" w:rsidRDefault="00F4349E" w:rsidP="00A33873">
      <w:pPr>
        <w:pStyle w:val="Lijstalinea"/>
        <w:tabs>
          <w:tab w:val="num" w:pos="426"/>
        </w:tabs>
        <w:ind w:left="426" w:hanging="426"/>
      </w:pPr>
    </w:p>
    <w:p w14:paraId="0DAFF838" w14:textId="33A35C93" w:rsidR="00A055D0" w:rsidRPr="00A055D0" w:rsidRDefault="00FB631E" w:rsidP="00A055D0">
      <w:pPr>
        <w:pStyle w:val="Lijstalinea"/>
        <w:numPr>
          <w:ilvl w:val="0"/>
          <w:numId w:val="3"/>
        </w:numPr>
        <w:tabs>
          <w:tab w:val="num" w:pos="426"/>
        </w:tabs>
        <w:rPr>
          <w:rFonts w:cs="Arial"/>
          <w:b/>
          <w:bCs/>
        </w:rPr>
      </w:pPr>
      <w:r>
        <w:rPr>
          <w:rFonts w:cs="Arial"/>
          <w:b/>
          <w:bCs/>
        </w:rPr>
        <w:t>BTW</w:t>
      </w:r>
    </w:p>
    <w:p w14:paraId="51AFDA99" w14:textId="29D10B08" w:rsidR="008405FF" w:rsidRPr="008D583E" w:rsidRDefault="00F4349E" w:rsidP="00973FA7">
      <w:pPr>
        <w:tabs>
          <w:tab w:val="num" w:pos="426"/>
        </w:tabs>
      </w:pPr>
      <w:r w:rsidRPr="00973FA7">
        <w:rPr>
          <w:rFonts w:cs="Arial"/>
        </w:rPr>
        <w:t xml:space="preserve">Partijen verklaren hierbij dat het verkochte op het moment van levering kwalificeert als een bouwterrein in de zin van artikel 11, lid 6, van de Wet op de omzetbelasting 1968. Op grond van artikel 11, lid 1, onderdeel a, ten eerste, van de Wet op de omzetbelasting 1968 is er derhalve sprake van een van rechtswege met btw belaste levering. Verkoper stuurt aan koper een btw-factuur met 21% omzetbelasting over de koopprijs. </w:t>
      </w:r>
    </w:p>
    <w:p w14:paraId="51A3E0BD" w14:textId="4A07937B" w:rsidR="00FB631E" w:rsidRDefault="00FB631E" w:rsidP="00FB631E"/>
    <w:p w14:paraId="51878BA7" w14:textId="6E3B8E9C" w:rsidR="00FB631E" w:rsidRDefault="00FB631E" w:rsidP="00FB631E">
      <w:pPr>
        <w:pStyle w:val="Lijstalinea"/>
        <w:numPr>
          <w:ilvl w:val="0"/>
          <w:numId w:val="3"/>
        </w:numPr>
        <w:rPr>
          <w:b/>
          <w:bCs/>
        </w:rPr>
      </w:pPr>
      <w:r>
        <w:rPr>
          <w:b/>
          <w:bCs/>
        </w:rPr>
        <w:t>Exploitatiebijdrage</w:t>
      </w:r>
    </w:p>
    <w:p w14:paraId="3F04A0A2" w14:textId="0C7300D3" w:rsidR="00405C13" w:rsidRDefault="002C747A" w:rsidP="002C747A">
      <w:pPr>
        <w:rPr>
          <w:rFonts w:cs="Arial"/>
        </w:rPr>
      </w:pPr>
      <w:r>
        <w:rPr>
          <w:rFonts w:cs="Arial"/>
        </w:rPr>
        <w:t>De ontwikkelaar is zelf verantwoordelijk voor het realiseren van het plan en de daarbij horende kosten. Om die reden wordt er geen exploitatiebijdrage in rekening gebracht. Indien de gemeente om welke reden dan ook kosten maakt die zij wettelijk moet verhalen, worden deze alsnog b</w:t>
      </w:r>
      <w:r w:rsidRPr="007F0642">
        <w:rPr>
          <w:rFonts w:cs="Arial"/>
        </w:rPr>
        <w:t xml:space="preserve">ij </w:t>
      </w:r>
      <w:r w:rsidR="007F0642" w:rsidRPr="007F0642">
        <w:rPr>
          <w:rFonts w:cs="Arial"/>
        </w:rPr>
        <w:t xml:space="preserve">ontwikkelaar </w:t>
      </w:r>
      <w:r>
        <w:rPr>
          <w:rFonts w:cs="Arial"/>
        </w:rPr>
        <w:t>in rekening gebracht.</w:t>
      </w:r>
    </w:p>
    <w:p w14:paraId="67A01817" w14:textId="03C90CD1" w:rsidR="002C747A" w:rsidRDefault="002C747A" w:rsidP="002C747A">
      <w:pPr>
        <w:rPr>
          <w:rFonts w:cs="Arial"/>
        </w:rPr>
      </w:pPr>
    </w:p>
    <w:p w14:paraId="3A756124" w14:textId="086C06F3" w:rsidR="00EE2D4B" w:rsidRPr="00EE2D4B" w:rsidRDefault="00EE2D4B" w:rsidP="00EE2D4B">
      <w:pPr>
        <w:pStyle w:val="Lijstalinea"/>
        <w:numPr>
          <w:ilvl w:val="0"/>
          <w:numId w:val="3"/>
        </w:numPr>
        <w:rPr>
          <w:rFonts w:cs="Arial"/>
          <w:b/>
        </w:rPr>
      </w:pPr>
      <w:r w:rsidRPr="00EE2D4B">
        <w:rPr>
          <w:rFonts w:cs="Arial"/>
          <w:b/>
        </w:rPr>
        <w:t>Inrichting van het exploitatiegebied (bouwrijp maken)</w:t>
      </w:r>
    </w:p>
    <w:p w14:paraId="1662AA45" w14:textId="2C7322A7" w:rsidR="00EE2D4B" w:rsidRDefault="00A60AF3" w:rsidP="00EE2D4B">
      <w:pPr>
        <w:pStyle w:val="Geenafstand"/>
      </w:pPr>
      <w:r>
        <w:t>Niet van toepassing</w:t>
      </w:r>
    </w:p>
    <w:p w14:paraId="5755706E" w14:textId="77777777" w:rsidR="00A60AF3" w:rsidRPr="00EE2D4B" w:rsidRDefault="00A60AF3" w:rsidP="00EE2D4B">
      <w:pPr>
        <w:pStyle w:val="Geenafstand"/>
      </w:pPr>
    </w:p>
    <w:p w14:paraId="622AC98B" w14:textId="2571A7C9" w:rsidR="00EE2D4B" w:rsidRPr="00EE2D4B" w:rsidRDefault="00EE2D4B" w:rsidP="00EE2D4B">
      <w:pPr>
        <w:pStyle w:val="Lijstalinea"/>
        <w:numPr>
          <w:ilvl w:val="0"/>
          <w:numId w:val="3"/>
        </w:numPr>
        <w:rPr>
          <w:rFonts w:cs="Arial"/>
          <w:b/>
        </w:rPr>
      </w:pPr>
      <w:r w:rsidRPr="00EE2D4B">
        <w:rPr>
          <w:rFonts w:cs="Arial"/>
          <w:b/>
        </w:rPr>
        <w:t>Inrichting van het exploitatiegebied (woonrijp maken)</w:t>
      </w:r>
    </w:p>
    <w:p w14:paraId="040F03C5" w14:textId="637ABE69" w:rsidR="00B63EFA" w:rsidRPr="00B63EFA" w:rsidRDefault="00A60AF3" w:rsidP="00A60AF3">
      <w:pPr>
        <w:numPr>
          <w:ilvl w:val="0"/>
          <w:numId w:val="23"/>
        </w:numPr>
        <w:rPr>
          <w:rFonts w:cs="Arial"/>
        </w:rPr>
      </w:pPr>
      <w:r>
        <w:rPr>
          <w:rFonts w:cs="Arial"/>
        </w:rPr>
        <w:t>Niet van toepassing</w:t>
      </w:r>
      <w:r w:rsidR="00EE2D4B" w:rsidRPr="00EE2D4B">
        <w:rPr>
          <w:rFonts w:cs="Arial"/>
        </w:rPr>
        <w:t xml:space="preserve"> </w:t>
      </w:r>
    </w:p>
    <w:p w14:paraId="676AB783" w14:textId="77777777" w:rsidR="00B63EFA" w:rsidRPr="00EE2D4B" w:rsidRDefault="00B63EFA" w:rsidP="00B63EFA">
      <w:pPr>
        <w:ind w:left="360"/>
        <w:rPr>
          <w:rFonts w:cs="Arial"/>
        </w:rPr>
      </w:pPr>
    </w:p>
    <w:p w14:paraId="6329F82C" w14:textId="77777777" w:rsidR="009479A9" w:rsidRDefault="009479A9" w:rsidP="009479A9">
      <w:pPr>
        <w:rPr>
          <w:rFonts w:cs="Arial"/>
          <w:b/>
          <w:bCs/>
        </w:rPr>
      </w:pPr>
    </w:p>
    <w:p w14:paraId="34D1AC88" w14:textId="77777777" w:rsidR="009479A9" w:rsidRDefault="009479A9" w:rsidP="009479A9">
      <w:pPr>
        <w:rPr>
          <w:rFonts w:cs="Arial"/>
          <w:b/>
          <w:bCs/>
        </w:rPr>
      </w:pPr>
    </w:p>
    <w:p w14:paraId="5A32007C" w14:textId="5C228EEB" w:rsidR="0024076D" w:rsidRPr="009479A9" w:rsidRDefault="00F22C44" w:rsidP="009479A9">
      <w:pPr>
        <w:rPr>
          <w:rFonts w:cs="Arial"/>
          <w:b/>
          <w:bCs/>
        </w:rPr>
      </w:pPr>
      <w:r w:rsidRPr="009479A9">
        <w:rPr>
          <w:rFonts w:cs="Arial"/>
          <w:b/>
          <w:bCs/>
        </w:rPr>
        <w:t>Beëindiging</w:t>
      </w:r>
    </w:p>
    <w:p w14:paraId="4F42E574" w14:textId="77777777" w:rsidR="00F22C44" w:rsidRPr="00F22C44" w:rsidRDefault="00F22C44" w:rsidP="00F22C44">
      <w:pPr>
        <w:rPr>
          <w:rFonts w:cs="Arial"/>
          <w:szCs w:val="18"/>
        </w:rPr>
      </w:pPr>
      <w:r w:rsidRPr="00F22C44">
        <w:rPr>
          <w:rFonts w:cs="Arial"/>
          <w:szCs w:val="18"/>
        </w:rPr>
        <w:t>Deze overeenkomst wordt tussentijds beëindigd:</w:t>
      </w:r>
    </w:p>
    <w:p w14:paraId="54698255" w14:textId="77777777" w:rsidR="00F22C44" w:rsidRPr="00F22C44" w:rsidRDefault="00F22C44" w:rsidP="00775EAE">
      <w:pPr>
        <w:rPr>
          <w:rFonts w:cs="Arial"/>
          <w:szCs w:val="18"/>
        </w:rPr>
      </w:pPr>
      <w:r w:rsidRPr="008C4BE3">
        <w:rPr>
          <w:rFonts w:cs="Arial"/>
          <w:szCs w:val="18"/>
        </w:rPr>
        <w:t>Door een bevrijdende overeenkomst tussen partijen, en voorts door een enkele schriftelijke mededeling voor één van beide partijen ingeval:</w:t>
      </w:r>
    </w:p>
    <w:p w14:paraId="6EB9E5FF" w14:textId="77777777" w:rsidR="00F22C44" w:rsidRPr="00F22C44" w:rsidRDefault="00F22C44" w:rsidP="0086621D">
      <w:pPr>
        <w:numPr>
          <w:ilvl w:val="0"/>
          <w:numId w:val="26"/>
        </w:numPr>
        <w:ind w:left="426"/>
        <w:rPr>
          <w:rFonts w:cs="Arial"/>
          <w:szCs w:val="18"/>
        </w:rPr>
      </w:pPr>
      <w:r w:rsidRPr="00F22C44">
        <w:rPr>
          <w:rFonts w:cs="Arial"/>
          <w:szCs w:val="18"/>
        </w:rPr>
        <w:t>Als de ontwikkelaar in staat van faillissement wordt verklaard;</w:t>
      </w:r>
    </w:p>
    <w:p w14:paraId="6CB94FC9" w14:textId="77777777" w:rsidR="00F22C44" w:rsidRPr="00F22C44" w:rsidRDefault="00F22C44" w:rsidP="0086621D">
      <w:pPr>
        <w:numPr>
          <w:ilvl w:val="0"/>
          <w:numId w:val="26"/>
        </w:numPr>
        <w:ind w:left="426"/>
        <w:rPr>
          <w:rFonts w:cs="Arial"/>
          <w:szCs w:val="18"/>
        </w:rPr>
      </w:pPr>
      <w:r w:rsidRPr="00F22C44">
        <w:rPr>
          <w:rFonts w:cs="Arial"/>
          <w:szCs w:val="18"/>
        </w:rPr>
        <w:t>Als de ontwikkelaar surseance van betaling wordt verleend;</w:t>
      </w:r>
    </w:p>
    <w:p w14:paraId="7B34C898" w14:textId="77777777" w:rsidR="00F22C44" w:rsidRPr="00F22C44" w:rsidRDefault="00F22C44" w:rsidP="0086621D">
      <w:pPr>
        <w:numPr>
          <w:ilvl w:val="0"/>
          <w:numId w:val="26"/>
        </w:numPr>
        <w:ind w:left="426"/>
        <w:rPr>
          <w:rFonts w:cs="Arial"/>
          <w:szCs w:val="18"/>
        </w:rPr>
      </w:pPr>
      <w:r w:rsidRPr="00F22C44">
        <w:rPr>
          <w:rFonts w:cs="Arial"/>
          <w:szCs w:val="18"/>
        </w:rPr>
        <w:t>Als de ontwikkelaar in haar bevoegdheid om rechtshandelingen te verrichten wordt beperkt;</w:t>
      </w:r>
    </w:p>
    <w:p w14:paraId="33005D5D" w14:textId="77777777" w:rsidR="00F22C44" w:rsidRPr="00F22C44" w:rsidRDefault="00F22C44" w:rsidP="0086621D">
      <w:pPr>
        <w:numPr>
          <w:ilvl w:val="0"/>
          <w:numId w:val="26"/>
        </w:numPr>
        <w:ind w:left="426"/>
        <w:rPr>
          <w:rFonts w:cs="Arial"/>
          <w:szCs w:val="18"/>
        </w:rPr>
      </w:pPr>
      <w:r w:rsidRPr="00F22C44">
        <w:rPr>
          <w:rFonts w:cs="Arial"/>
          <w:szCs w:val="18"/>
        </w:rPr>
        <w:t>In het geval dat één der partijen toerekenbaar tekortschiet in de nakoming van haar verplichtingen.</w:t>
      </w:r>
    </w:p>
    <w:p w14:paraId="300A933A" w14:textId="77777777" w:rsidR="00F22C44" w:rsidRPr="00F22C44" w:rsidRDefault="00F22C44" w:rsidP="00F22C44">
      <w:pPr>
        <w:rPr>
          <w:rFonts w:cs="Arial"/>
          <w:szCs w:val="18"/>
        </w:rPr>
      </w:pPr>
    </w:p>
    <w:p w14:paraId="20BED4C4" w14:textId="59A15A41" w:rsidR="00F22C44" w:rsidRPr="00F22C44" w:rsidRDefault="00F22C44" w:rsidP="00F22C44">
      <w:pPr>
        <w:rPr>
          <w:rFonts w:cs="Arial"/>
          <w:szCs w:val="18"/>
        </w:rPr>
      </w:pPr>
      <w:r w:rsidRPr="00F22C44">
        <w:rPr>
          <w:rFonts w:cs="Arial"/>
          <w:szCs w:val="18"/>
        </w:rPr>
        <w:t>Ingeval van een toerekenbare tekortkoming in de nakoming van de verplichtingen uit hoofde van deze overeenkomst door één der partijen is de in gebreke en verzuim zijnde partij gehouden tot vergoeding aan de wederpartij van gemaakte kosten, interest (wettelijke rente) en alle (overige) schade.</w:t>
      </w:r>
    </w:p>
    <w:p w14:paraId="1E1048DB" w14:textId="71C7B9D8" w:rsidR="00F22C44" w:rsidRDefault="00F22C44" w:rsidP="00F22C44">
      <w:pPr>
        <w:rPr>
          <w:rFonts w:cs="Arial"/>
          <w:sz w:val="22"/>
        </w:rPr>
      </w:pPr>
    </w:p>
    <w:p w14:paraId="16318DD4" w14:textId="77777777" w:rsidR="00F22C44" w:rsidRPr="00F22C44" w:rsidRDefault="00F22C44" w:rsidP="00F22C44">
      <w:pPr>
        <w:pStyle w:val="Lijstalinea"/>
        <w:numPr>
          <w:ilvl w:val="0"/>
          <w:numId w:val="3"/>
        </w:numPr>
        <w:rPr>
          <w:rFonts w:cs="Arial"/>
          <w:sz w:val="22"/>
        </w:rPr>
      </w:pPr>
    </w:p>
    <w:p w14:paraId="508830D5" w14:textId="2259FC07" w:rsidR="00F22C44" w:rsidRPr="00F22C44" w:rsidRDefault="00F22C44" w:rsidP="00F22C44">
      <w:pPr>
        <w:rPr>
          <w:rFonts w:cs="Arial"/>
          <w:szCs w:val="18"/>
        </w:rPr>
      </w:pPr>
      <w:r w:rsidRPr="00F22C44">
        <w:rPr>
          <w:rFonts w:cs="Arial"/>
          <w:szCs w:val="18"/>
        </w:rPr>
        <w:t xml:space="preserve">Indien </w:t>
      </w:r>
      <w:r w:rsidR="00440420">
        <w:rPr>
          <w:rFonts w:cs="Arial"/>
          <w:szCs w:val="18"/>
        </w:rPr>
        <w:t>er</w:t>
      </w:r>
      <w:r w:rsidRPr="00F22C44">
        <w:rPr>
          <w:rFonts w:cs="Arial"/>
          <w:szCs w:val="18"/>
        </w:rPr>
        <w:t xml:space="preserve"> </w:t>
      </w:r>
      <w:r w:rsidR="00440420">
        <w:rPr>
          <w:rFonts w:cs="Arial"/>
          <w:szCs w:val="18"/>
        </w:rPr>
        <w:t xml:space="preserve">zich onvoorziene </w:t>
      </w:r>
      <w:r w:rsidRPr="00F22C44">
        <w:rPr>
          <w:rFonts w:cs="Arial"/>
          <w:szCs w:val="18"/>
        </w:rPr>
        <w:t xml:space="preserve">omstandigheden </w:t>
      </w:r>
      <w:r w:rsidR="00440420">
        <w:rPr>
          <w:rFonts w:cs="Arial"/>
          <w:szCs w:val="18"/>
        </w:rPr>
        <w:t xml:space="preserve">voordoen, </w:t>
      </w:r>
      <w:r w:rsidRPr="00F22C44">
        <w:rPr>
          <w:rFonts w:cs="Arial"/>
          <w:szCs w:val="18"/>
        </w:rPr>
        <w:t>zullen partijen met elkaar in overleg treden om tot aanpassing van de in deze overeenkomst vastgelegde afspraken te komen, waaronder begrepen aanpassing van het bouwplan, het bestemmingsplan, de grondexploitatie, alsmede de planning. Eventuele aanpassing van de afspraken</w:t>
      </w:r>
      <w:r w:rsidR="009479A9">
        <w:rPr>
          <w:rFonts w:cs="Arial"/>
          <w:szCs w:val="18"/>
        </w:rPr>
        <w:t xml:space="preserve"> zijn pas geldig</w:t>
      </w:r>
      <w:r w:rsidRPr="00F22C44">
        <w:rPr>
          <w:rFonts w:cs="Arial"/>
          <w:szCs w:val="18"/>
        </w:rPr>
        <w:t xml:space="preserve"> nadat daaraan goedkeuring is gegeven door partijen. Wijzigingen van het beleid van hogere overheden in de richting van de gemeente en/of ontwikkelaar met verstrekkende (financiële) gevolgen, die niet voorzienbaar zijn geweest bij het sluiten van de overeenkomst, worden nadrukkelijk aanvaard als onvoorziene omstandigheden als bedoeld in artikel 6:258 BW. </w:t>
      </w:r>
    </w:p>
    <w:p w14:paraId="36ECD5A8" w14:textId="6E80D3D7" w:rsidR="00460573" w:rsidRDefault="00460573" w:rsidP="00460573">
      <w:pPr>
        <w:rPr>
          <w:rFonts w:cs="Arial"/>
          <w:sz w:val="18"/>
          <w:szCs w:val="18"/>
        </w:rPr>
      </w:pPr>
    </w:p>
    <w:p w14:paraId="1FB1ACFA" w14:textId="6E24E7C0" w:rsidR="00FB631E" w:rsidRPr="00FB631E" w:rsidRDefault="00FB631E" w:rsidP="00FB631E">
      <w:pPr>
        <w:pStyle w:val="Lijstalinea"/>
        <w:ind w:left="360"/>
        <w:rPr>
          <w:b/>
          <w:bCs/>
        </w:rPr>
      </w:pPr>
    </w:p>
    <w:p w14:paraId="198263D6" w14:textId="725820F8" w:rsidR="002C465C" w:rsidRPr="00775C33" w:rsidRDefault="002C465C" w:rsidP="00AA0F28">
      <w:r w:rsidRPr="00775C33">
        <w:t>Aldus overeengekomen te</w:t>
      </w:r>
      <w:r w:rsidR="008D583E">
        <w:t xml:space="preserve"> Dokkum</w:t>
      </w:r>
    </w:p>
    <w:p w14:paraId="3A3CBDA4" w14:textId="77777777" w:rsidR="00DD1838" w:rsidRPr="00775C33" w:rsidRDefault="00DD1838" w:rsidP="00AA0F28">
      <w:pPr>
        <w:rPr>
          <w:u w:val="single"/>
        </w:rPr>
      </w:pPr>
    </w:p>
    <w:p w14:paraId="47441F8F" w14:textId="77777777" w:rsidR="00DD1838" w:rsidRPr="00775C33" w:rsidRDefault="00DD1838" w:rsidP="00AA0F28">
      <w:pPr>
        <w:rPr>
          <w:u w:val="single"/>
        </w:rPr>
      </w:pPr>
    </w:p>
    <w:p w14:paraId="1B7B88C5" w14:textId="77777777" w:rsidR="00D96A2C" w:rsidRPr="00775C33" w:rsidRDefault="00D96A2C" w:rsidP="00AA0F28">
      <w:r w:rsidRPr="00775C33">
        <w:rPr>
          <w:u w:val="single"/>
        </w:rPr>
        <w:t>Handtekening verkoper</w:t>
      </w:r>
      <w:r w:rsidRPr="00775C33">
        <w:tab/>
      </w:r>
      <w:r w:rsidRPr="00775C33">
        <w:tab/>
      </w:r>
      <w:r w:rsidRPr="00775C33">
        <w:tab/>
      </w:r>
      <w:r w:rsidRPr="00775C33">
        <w:tab/>
      </w:r>
      <w:r w:rsidRPr="00775C33">
        <w:tab/>
      </w:r>
      <w:r w:rsidRPr="00775C33">
        <w:rPr>
          <w:u w:val="single"/>
        </w:rPr>
        <w:t>Handtekening koper</w:t>
      </w:r>
    </w:p>
    <w:p w14:paraId="61BA6F30" w14:textId="05E3D8E7" w:rsidR="007B782A" w:rsidRDefault="007B782A" w:rsidP="006E3CC4">
      <w:r>
        <w:t xml:space="preserve">Gemeente </w:t>
      </w:r>
      <w:r w:rsidR="008067C9">
        <w:t>Noardeast-Fryslân</w:t>
      </w:r>
      <w:r w:rsidR="007C18B1">
        <w:t>,</w:t>
      </w:r>
      <w:r>
        <w:tab/>
      </w:r>
      <w:r>
        <w:tab/>
      </w:r>
      <w:r>
        <w:tab/>
      </w:r>
      <w:r>
        <w:tab/>
      </w:r>
      <w:r w:rsidR="001D01D9">
        <w:t xml:space="preserve"> </w:t>
      </w:r>
    </w:p>
    <w:p w14:paraId="48487C19" w14:textId="2440D140" w:rsidR="002A7656" w:rsidRDefault="007C18B1" w:rsidP="009479A9">
      <w:pPr>
        <w:tabs>
          <w:tab w:val="left" w:pos="708"/>
          <w:tab w:val="left" w:pos="1416"/>
          <w:tab w:val="left" w:pos="2124"/>
          <w:tab w:val="left" w:pos="2832"/>
          <w:tab w:val="left" w:pos="3540"/>
          <w:tab w:val="left" w:pos="4248"/>
          <w:tab w:val="left" w:pos="4956"/>
          <w:tab w:val="left" w:pos="5664"/>
          <w:tab w:val="left" w:pos="8489"/>
        </w:tabs>
      </w:pPr>
      <w:r>
        <w:t>n</w:t>
      </w:r>
      <w:r w:rsidR="008067C9">
        <w:t>amens deze,</w:t>
      </w:r>
      <w:r w:rsidR="00DE2779">
        <w:tab/>
      </w:r>
      <w:r w:rsidR="00DE2779">
        <w:tab/>
      </w:r>
      <w:r w:rsidR="00D96A2C" w:rsidRPr="00775C33">
        <w:tab/>
      </w:r>
      <w:r w:rsidR="00D96A2C" w:rsidRPr="00775C33">
        <w:tab/>
      </w:r>
      <w:r>
        <w:tab/>
      </w:r>
      <w:r>
        <w:tab/>
        <w:t>namens deze,</w:t>
      </w:r>
      <w:r w:rsidR="009479A9">
        <w:tab/>
      </w:r>
    </w:p>
    <w:p w14:paraId="1FCDA7FF" w14:textId="77777777" w:rsidR="002A7656" w:rsidRDefault="002A7656" w:rsidP="00AA0F28"/>
    <w:p w14:paraId="2FB29E1B" w14:textId="77777777" w:rsidR="00DE2779" w:rsidRDefault="00DE2779" w:rsidP="00AA0F28"/>
    <w:p w14:paraId="72683BAF" w14:textId="77777777" w:rsidR="00ED27DB" w:rsidRDefault="00ED27DB" w:rsidP="00AA0F28"/>
    <w:p w14:paraId="0B8F60D1" w14:textId="1681E3D5" w:rsidR="007C18B1" w:rsidRDefault="007C18B1" w:rsidP="00AA0F28"/>
    <w:p w14:paraId="100E14CF" w14:textId="0741060B" w:rsidR="007C18B1" w:rsidRDefault="007C18B1" w:rsidP="00AA0F28"/>
    <w:p w14:paraId="26971D5F" w14:textId="77777777" w:rsidR="006732F5" w:rsidRDefault="006732F5" w:rsidP="00AA0F28"/>
    <w:p w14:paraId="73BDD0FE" w14:textId="77777777" w:rsidR="006732F5" w:rsidRDefault="006732F5" w:rsidP="00AA0F28"/>
    <w:p w14:paraId="42B884AC" w14:textId="77777777" w:rsidR="006732F5" w:rsidRDefault="006732F5" w:rsidP="00AA0F28"/>
    <w:p w14:paraId="4C15673F" w14:textId="77777777" w:rsidR="006732F5" w:rsidRDefault="006732F5" w:rsidP="00AA0F28"/>
    <w:p w14:paraId="251086FE" w14:textId="77777777" w:rsidR="006732F5" w:rsidRDefault="006732F5" w:rsidP="00AA0F28"/>
    <w:p w14:paraId="502839BE" w14:textId="77777777" w:rsidR="006732F5" w:rsidRDefault="006732F5" w:rsidP="00AA0F28"/>
    <w:p w14:paraId="471FD743" w14:textId="77777777" w:rsidR="006732F5" w:rsidRDefault="006732F5" w:rsidP="00AA0F28"/>
    <w:p w14:paraId="1CEB82E2" w14:textId="77777777" w:rsidR="006732F5" w:rsidRDefault="006732F5" w:rsidP="00AA0F28"/>
    <w:p w14:paraId="782BAAC7" w14:textId="77777777" w:rsidR="006732F5" w:rsidRDefault="006732F5" w:rsidP="00AA0F28"/>
    <w:p w14:paraId="64919A5A" w14:textId="40DB5E0A" w:rsidR="007C18B1" w:rsidRDefault="007C18B1" w:rsidP="00AA0F28"/>
    <w:p w14:paraId="491721CC" w14:textId="77777777" w:rsidR="000208C6" w:rsidRDefault="000208C6"/>
    <w:p w14:paraId="70B6250F" w14:textId="77777777" w:rsidR="000208C6" w:rsidRDefault="000208C6"/>
    <w:p w14:paraId="43A1EEB0" w14:textId="77777777" w:rsidR="000208C6" w:rsidRDefault="000208C6"/>
    <w:p w14:paraId="364EB240" w14:textId="77777777" w:rsidR="000208C6" w:rsidRDefault="000208C6"/>
    <w:p w14:paraId="041912B3" w14:textId="77777777" w:rsidR="000208C6" w:rsidRDefault="000208C6"/>
    <w:p w14:paraId="50EF2183" w14:textId="77777777" w:rsidR="000208C6" w:rsidRDefault="000208C6"/>
    <w:p w14:paraId="27678A32" w14:textId="77777777" w:rsidR="00205247" w:rsidRDefault="000208C6">
      <w:r>
        <w:t xml:space="preserve">Bijlage: </w:t>
      </w:r>
      <w:r>
        <w:tab/>
      </w:r>
    </w:p>
    <w:p w14:paraId="7E66A456" w14:textId="03C4AABD" w:rsidR="000208C6" w:rsidRDefault="000208C6" w:rsidP="00205247">
      <w:pPr>
        <w:pStyle w:val="Lijstalinea"/>
        <w:numPr>
          <w:ilvl w:val="0"/>
          <w:numId w:val="28"/>
        </w:numPr>
      </w:pPr>
      <w:r>
        <w:t>Algemene verkoopvoorwaarden</w:t>
      </w:r>
    </w:p>
    <w:p w14:paraId="2AD6D03B" w14:textId="0DFF2A6C" w:rsidR="00205247" w:rsidRDefault="00205247" w:rsidP="00205247">
      <w:pPr>
        <w:pStyle w:val="Lijstalinea"/>
        <w:numPr>
          <w:ilvl w:val="0"/>
          <w:numId w:val="28"/>
        </w:numPr>
      </w:pPr>
      <w:r>
        <w:t>Overdrachtstekening</w:t>
      </w:r>
    </w:p>
    <w:p w14:paraId="7BA33AC7" w14:textId="371B2B61" w:rsidR="000C605B" w:rsidRDefault="000C605B" w:rsidP="00205247">
      <w:pPr>
        <w:pStyle w:val="Lijstalinea"/>
        <w:numPr>
          <w:ilvl w:val="0"/>
          <w:numId w:val="28"/>
        </w:numPr>
      </w:pPr>
      <w:r>
        <w:t>Gunningsleidraad</w:t>
      </w:r>
    </w:p>
    <w:p w14:paraId="0422B7E4" w14:textId="0E31A7D2" w:rsidR="00815BE6" w:rsidRPr="00775C33" w:rsidRDefault="00815BE6" w:rsidP="007C18B1"/>
    <w:sectPr w:rsidR="00815BE6" w:rsidRPr="00775C33" w:rsidSect="009479A9">
      <w:headerReference w:type="default" r:id="rId8"/>
      <w:footerReference w:type="default" r:id="rId9"/>
      <w:pgSz w:w="11906" w:h="16838" w:code="9"/>
      <w:pgMar w:top="1725" w:right="1418" w:bottom="1418" w:left="993" w:header="709" w:footer="709" w:gutter="0"/>
      <w:paperSrc w:first="4" w:other="2"/>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F3BF6" w14:textId="77777777" w:rsidR="00C815F2" w:rsidRDefault="00C815F2">
      <w:r>
        <w:separator/>
      </w:r>
    </w:p>
  </w:endnote>
  <w:endnote w:type="continuationSeparator" w:id="0">
    <w:p w14:paraId="15C1CE15" w14:textId="77777777" w:rsidR="00C815F2" w:rsidRDefault="00C8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02073125"/>
      <w:docPartObj>
        <w:docPartGallery w:val="Page Numbers (Bottom of Page)"/>
        <w:docPartUnique/>
      </w:docPartObj>
    </w:sdtPr>
    <w:sdtEndPr/>
    <w:sdtContent>
      <w:p w14:paraId="0C7E5653" w14:textId="6C64B7F4" w:rsidR="009C2299" w:rsidRPr="009C2299" w:rsidRDefault="009C2299" w:rsidP="00D104DD">
        <w:pPr>
          <w:pStyle w:val="Voettekst"/>
          <w:jc w:val="center"/>
          <w:rPr>
            <w:sz w:val="16"/>
            <w:szCs w:val="16"/>
          </w:rPr>
        </w:pPr>
        <w:r w:rsidRPr="009C2299">
          <w:rPr>
            <w:sz w:val="16"/>
            <w:szCs w:val="16"/>
          </w:rPr>
          <w:fldChar w:fldCharType="begin"/>
        </w:r>
        <w:r w:rsidRPr="009C2299">
          <w:rPr>
            <w:sz w:val="16"/>
            <w:szCs w:val="16"/>
          </w:rPr>
          <w:instrText>PAGE   \* MERGEFORMAT</w:instrText>
        </w:r>
        <w:r w:rsidRPr="009C2299">
          <w:rPr>
            <w:sz w:val="16"/>
            <w:szCs w:val="16"/>
          </w:rPr>
          <w:fldChar w:fldCharType="separate"/>
        </w:r>
        <w:r w:rsidRPr="009C2299">
          <w:rPr>
            <w:sz w:val="16"/>
            <w:szCs w:val="16"/>
          </w:rPr>
          <w:t>2</w:t>
        </w:r>
        <w:r w:rsidRPr="009C2299">
          <w:rPr>
            <w:sz w:val="16"/>
            <w:szCs w:val="16"/>
          </w:rPr>
          <w:fldChar w:fldCharType="end"/>
        </w:r>
      </w:p>
    </w:sdtContent>
  </w:sdt>
  <w:p w14:paraId="2D2F40CE" w14:textId="42B55040" w:rsidR="00D104DD" w:rsidRPr="00D104DD" w:rsidRDefault="009C2299" w:rsidP="00D104DD">
    <w:pPr>
      <w:rPr>
        <w:rFonts w:cs="Arial"/>
        <w:sz w:val="16"/>
        <w:szCs w:val="16"/>
      </w:rPr>
    </w:pPr>
    <w:r w:rsidRPr="009C2299">
      <w:rPr>
        <w:sz w:val="16"/>
        <w:szCs w:val="16"/>
      </w:rPr>
      <w:t>Paraaf koper</w:t>
    </w:r>
    <w:r w:rsidR="00851D0D">
      <w:rPr>
        <w:sz w:val="16"/>
        <w:szCs w:val="16"/>
      </w:rPr>
      <w:t xml:space="preserve">                                                   betreft:</w:t>
    </w:r>
    <w:r w:rsidR="008C4BE3">
      <w:rPr>
        <w:sz w:val="16"/>
        <w:szCs w:val="16"/>
      </w:rPr>
      <w:t xml:space="preserve"> </w:t>
    </w:r>
    <w:proofErr w:type="spellStart"/>
    <w:r w:rsidR="00B15E0C">
      <w:rPr>
        <w:sz w:val="16"/>
        <w:szCs w:val="16"/>
      </w:rPr>
      <w:t>Cedelshof</w:t>
    </w:r>
    <w:proofErr w:type="spellEnd"/>
    <w:r w:rsidR="00B15E0C">
      <w:rPr>
        <w:sz w:val="16"/>
        <w:szCs w:val="16"/>
      </w:rPr>
      <w:t xml:space="preserve"> </w:t>
    </w:r>
    <w:proofErr w:type="spellStart"/>
    <w:r w:rsidR="00B15E0C">
      <w:rPr>
        <w:sz w:val="16"/>
        <w:szCs w:val="16"/>
      </w:rPr>
      <w:t>Kollumersweach</w:t>
    </w:r>
    <w:proofErr w:type="spellEnd"/>
    <w:r w:rsidR="00851D0D">
      <w:rPr>
        <w:sz w:val="16"/>
        <w:szCs w:val="16"/>
      </w:rPr>
      <w:t xml:space="preserve">                                     zaaknummer: </w:t>
    </w:r>
  </w:p>
  <w:p w14:paraId="7D070703" w14:textId="0AC55F80" w:rsidR="001F5840" w:rsidRPr="009C2299" w:rsidRDefault="001F5840" w:rsidP="009C2299">
    <w:pPr>
      <w:pStyle w:val="Voettekst"/>
      <w:rPr>
        <w:sz w:val="16"/>
        <w:szCs w:val="16"/>
      </w:rPr>
    </w:pPr>
  </w:p>
  <w:p w14:paraId="5A0425D1" w14:textId="77777777" w:rsidR="009C2299" w:rsidRPr="009C2299" w:rsidRDefault="009C2299" w:rsidP="009C2299">
    <w:pPr>
      <w:pStyle w:val="Voettekst"/>
      <w:rPr>
        <w:sz w:val="16"/>
        <w:szCs w:val="16"/>
      </w:rPr>
    </w:pPr>
  </w:p>
  <w:p w14:paraId="5FFDFF67" w14:textId="40345F73" w:rsidR="009C2299" w:rsidRPr="009C2299" w:rsidRDefault="009C2299" w:rsidP="009C2299">
    <w:pPr>
      <w:pStyle w:val="Voettekst"/>
      <w:rPr>
        <w:sz w:val="16"/>
        <w:szCs w:val="16"/>
      </w:rPr>
    </w:pPr>
    <w:r w:rsidRPr="009C2299">
      <w:rPr>
        <w:sz w:val="16"/>
        <w:szCs w:val="16"/>
      </w:rPr>
      <w:t>Paraaf verkoper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B7426" w14:textId="77777777" w:rsidR="00C815F2" w:rsidRDefault="00C815F2">
      <w:r>
        <w:separator/>
      </w:r>
    </w:p>
  </w:footnote>
  <w:footnote w:type="continuationSeparator" w:id="0">
    <w:p w14:paraId="07E5D827" w14:textId="77777777" w:rsidR="00C815F2" w:rsidRDefault="00C81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2212" w14:textId="2195454A" w:rsidR="009479A9" w:rsidRDefault="006732F5">
    <w:pPr>
      <w:pStyle w:val="Koptekst"/>
    </w:pPr>
    <w:sdt>
      <w:sdtPr>
        <w:id w:val="-316796437"/>
        <w:docPartObj>
          <w:docPartGallery w:val="Watermarks"/>
          <w:docPartUnique/>
        </w:docPartObj>
      </w:sdtPr>
      <w:sdtEndPr/>
      <w:sdtContent>
        <w:r>
          <w:pict w14:anchorId="35CEA5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36361" o:spid="_x0000_s63489" type="#_x0000_t136" style="position:absolute;margin-left:0;margin-top:0;width:468.5pt;height:200.8pt;rotation:315;z-index:-251658240;mso-position-horizontal:center;mso-position-horizontal-relative:margin;mso-position-vertical:center;mso-position-vertical-relative:margin" o:allowincell="f" fillcolor="#ffc000" stroked="f">
              <v:fill opacity=".5"/>
              <v:textpath style="font-family:&quot;calibri&quot;;font-size:1pt" string="CONCEPT"/>
              <w10:wrap anchorx="margin" anchory="margin"/>
            </v:shape>
          </w:pict>
        </w:r>
      </w:sdtContent>
    </w:sdt>
    <w:r w:rsidR="009479A9">
      <w:rPr>
        <w:noProof/>
      </w:rPr>
      <w:drawing>
        <wp:anchor distT="0" distB="0" distL="0" distR="0" simplePos="0" relativeHeight="251657216" behindDoc="0" locked="0" layoutInCell="1" allowOverlap="1" wp14:anchorId="457A6D06" wp14:editId="13AF8DB3">
          <wp:simplePos x="0" y="0"/>
          <wp:positionH relativeFrom="margin">
            <wp:posOffset>-191135</wp:posOffset>
          </wp:positionH>
          <wp:positionV relativeFrom="topMargin">
            <wp:posOffset>226016</wp:posOffset>
          </wp:positionV>
          <wp:extent cx="1352550" cy="782320"/>
          <wp:effectExtent l="0" t="0" r="0" b="0"/>
          <wp:wrapSquare wrapText="bothSides"/>
          <wp:docPr id="1444315284" name="Afbeelding 144431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GemeenteNOARDEASTfryslan_sRGB-110px.jpg"/>
                  <pic:cNvPicPr/>
                </pic:nvPicPr>
                <pic:blipFill>
                  <a:blip r:embed="rId1">
                    <a:extLst>
                      <a:ext uri="{28A0092B-C50C-407E-A947-70E740481C1C}">
                        <a14:useLocalDpi xmlns:a14="http://schemas.microsoft.com/office/drawing/2010/main" val="0"/>
                      </a:ext>
                    </a:extLst>
                  </a:blip>
                  <a:stretch>
                    <a:fillRect/>
                  </a:stretch>
                </pic:blipFill>
                <pic:spPr>
                  <a:xfrm>
                    <a:off x="0" y="0"/>
                    <a:ext cx="1352550" cy="782320"/>
                  </a:xfrm>
                  <a:prstGeom prst="rect">
                    <a:avLst/>
                  </a:prstGeom>
                </pic:spPr>
              </pic:pic>
            </a:graphicData>
          </a:graphic>
          <wp14:sizeRelH relativeFrom="page">
            <wp14:pctWidth>0</wp14:pctWidth>
          </wp14:sizeRelH>
          <wp14:sizeRelV relativeFrom="page">
            <wp14:pctHeight>0</wp14:pctHeight>
          </wp14:sizeRelV>
        </wp:anchor>
      </w:drawing>
    </w:r>
  </w:p>
  <w:p w14:paraId="69D800E1" w14:textId="77777777" w:rsidR="009479A9" w:rsidRDefault="009479A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702"/>
    <w:multiLevelType w:val="hybridMultilevel"/>
    <w:tmpl w:val="23C6C5F2"/>
    <w:lvl w:ilvl="0" w:tplc="FBB26F2E">
      <w:start w:val="1"/>
      <w:numFmt w:val="decimal"/>
      <w:lvlText w:val="%1."/>
      <w:lvlJc w:val="left"/>
      <w:pPr>
        <w:ind w:left="360" w:hanging="360"/>
      </w:pPr>
      <w:rPr>
        <w:rFonts w:ascii="Arial" w:eastAsia="Times New Roman" w:hAnsi="Arial" w:cs="Aria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4377081"/>
    <w:multiLevelType w:val="hybridMultilevel"/>
    <w:tmpl w:val="0BF4F8CA"/>
    <w:lvl w:ilvl="0" w:tplc="E856E1E2">
      <w:start w:val="1"/>
      <w:numFmt w:val="decimal"/>
      <w:lvlText w:val="%1."/>
      <w:lvlJc w:val="left"/>
      <w:pPr>
        <w:ind w:left="360" w:hanging="360"/>
      </w:pPr>
      <w:rPr>
        <w:rFonts w:ascii="Arial" w:eastAsia="Times New Roman" w:hAnsi="Arial" w:cs="Arial"/>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48A5E06"/>
    <w:multiLevelType w:val="hybridMultilevel"/>
    <w:tmpl w:val="AF4EE776"/>
    <w:lvl w:ilvl="0" w:tplc="10C83944">
      <w:start w:val="1"/>
      <w:numFmt w:val="upp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0D0D5F5C"/>
    <w:multiLevelType w:val="hybridMultilevel"/>
    <w:tmpl w:val="627ECFFE"/>
    <w:lvl w:ilvl="0" w:tplc="D37E221C">
      <w:start w:val="1"/>
      <w:numFmt w:val="decimal"/>
      <w:lvlText w:val="%1.)"/>
      <w:lvlJc w:val="left"/>
      <w:pPr>
        <w:ind w:left="1065" w:hanging="360"/>
      </w:pPr>
      <w:rPr>
        <w:rFonts w:ascii="Calibri" w:eastAsia="Times New Roman" w:hAnsi="Calibri" w:cs="Calibri"/>
      </w:rPr>
    </w:lvl>
    <w:lvl w:ilvl="1" w:tplc="04130019">
      <w:start w:val="1"/>
      <w:numFmt w:val="lowerLetter"/>
      <w:lvlText w:val="%2."/>
      <w:lvlJc w:val="left"/>
      <w:pPr>
        <w:ind w:left="1785" w:hanging="360"/>
      </w:pPr>
    </w:lvl>
    <w:lvl w:ilvl="2" w:tplc="0413001B">
      <w:start w:val="1"/>
      <w:numFmt w:val="lowerRoman"/>
      <w:lvlText w:val="%3."/>
      <w:lvlJc w:val="right"/>
      <w:pPr>
        <w:ind w:left="2505" w:hanging="180"/>
      </w:pPr>
    </w:lvl>
    <w:lvl w:ilvl="3" w:tplc="0413000F">
      <w:start w:val="1"/>
      <w:numFmt w:val="decimal"/>
      <w:lvlText w:val="%4."/>
      <w:lvlJc w:val="left"/>
      <w:pPr>
        <w:ind w:left="3225" w:hanging="360"/>
      </w:pPr>
    </w:lvl>
    <w:lvl w:ilvl="4" w:tplc="04130019">
      <w:start w:val="1"/>
      <w:numFmt w:val="lowerLetter"/>
      <w:lvlText w:val="%5."/>
      <w:lvlJc w:val="left"/>
      <w:pPr>
        <w:ind w:left="3945" w:hanging="360"/>
      </w:pPr>
    </w:lvl>
    <w:lvl w:ilvl="5" w:tplc="0413001B">
      <w:start w:val="1"/>
      <w:numFmt w:val="lowerRoman"/>
      <w:lvlText w:val="%6."/>
      <w:lvlJc w:val="right"/>
      <w:pPr>
        <w:ind w:left="4665" w:hanging="180"/>
      </w:pPr>
    </w:lvl>
    <w:lvl w:ilvl="6" w:tplc="0413000F">
      <w:start w:val="1"/>
      <w:numFmt w:val="decimal"/>
      <w:lvlText w:val="%7."/>
      <w:lvlJc w:val="left"/>
      <w:pPr>
        <w:ind w:left="5385" w:hanging="360"/>
      </w:pPr>
    </w:lvl>
    <w:lvl w:ilvl="7" w:tplc="04130019">
      <w:start w:val="1"/>
      <w:numFmt w:val="lowerLetter"/>
      <w:lvlText w:val="%8."/>
      <w:lvlJc w:val="left"/>
      <w:pPr>
        <w:ind w:left="6105" w:hanging="360"/>
      </w:pPr>
    </w:lvl>
    <w:lvl w:ilvl="8" w:tplc="0413001B">
      <w:start w:val="1"/>
      <w:numFmt w:val="lowerRoman"/>
      <w:lvlText w:val="%9."/>
      <w:lvlJc w:val="right"/>
      <w:pPr>
        <w:ind w:left="6825" w:hanging="180"/>
      </w:pPr>
    </w:lvl>
  </w:abstractNum>
  <w:abstractNum w:abstractNumId="4" w15:restartNumberingAfterBreak="0">
    <w:nsid w:val="12B3011F"/>
    <w:multiLevelType w:val="hybridMultilevel"/>
    <w:tmpl w:val="10A6FD32"/>
    <w:lvl w:ilvl="0" w:tplc="2E361F52">
      <w:start w:val="1"/>
      <w:numFmt w:val="decimal"/>
      <w:lvlText w:val="%1."/>
      <w:lvlJc w:val="left"/>
      <w:pPr>
        <w:ind w:left="720" w:hanging="360"/>
      </w:pPr>
      <w:rPr>
        <w:rFonts w:cs="Arial"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63346E2"/>
    <w:multiLevelType w:val="multilevel"/>
    <w:tmpl w:val="BDD8A1DE"/>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1F25796F"/>
    <w:multiLevelType w:val="hybridMultilevel"/>
    <w:tmpl w:val="E7E24C00"/>
    <w:lvl w:ilvl="0" w:tplc="28F0D64C">
      <w:start w:val="1"/>
      <w:numFmt w:val="decimal"/>
      <w:lvlText w:val="Artikel %1."/>
      <w:lvlJc w:val="left"/>
      <w:pPr>
        <w:ind w:left="720" w:hanging="360"/>
      </w:pPr>
      <w:rPr>
        <w:rFonts w:hint="default"/>
        <w:b/>
        <w:bCs/>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602450F"/>
    <w:multiLevelType w:val="hybridMultilevel"/>
    <w:tmpl w:val="007AA1CA"/>
    <w:lvl w:ilvl="0" w:tplc="037A969E">
      <w:start w:val="1"/>
      <w:numFmt w:val="decimal"/>
      <w:lvlText w:val="Artikel %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29561097"/>
    <w:multiLevelType w:val="hybridMultilevel"/>
    <w:tmpl w:val="3A02DDD8"/>
    <w:lvl w:ilvl="0" w:tplc="037A969E">
      <w:start w:val="1"/>
      <w:numFmt w:val="decimal"/>
      <w:lvlText w:val="Artikel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1F1AE8"/>
    <w:multiLevelType w:val="hybridMultilevel"/>
    <w:tmpl w:val="F34AEE1E"/>
    <w:lvl w:ilvl="0" w:tplc="037A969E">
      <w:start w:val="1"/>
      <w:numFmt w:val="decimal"/>
      <w:lvlText w:val="Artikel %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74639F0"/>
    <w:multiLevelType w:val="hybridMultilevel"/>
    <w:tmpl w:val="F5CC2850"/>
    <w:lvl w:ilvl="0" w:tplc="037A969E">
      <w:start w:val="1"/>
      <w:numFmt w:val="decimal"/>
      <w:lvlText w:val="Artikel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76B54A5"/>
    <w:multiLevelType w:val="hybridMultilevel"/>
    <w:tmpl w:val="F5C64A8A"/>
    <w:lvl w:ilvl="0" w:tplc="037A969E">
      <w:start w:val="1"/>
      <w:numFmt w:val="decimal"/>
      <w:lvlText w:val="Artikel %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92B68EB"/>
    <w:multiLevelType w:val="hybridMultilevel"/>
    <w:tmpl w:val="D65AD060"/>
    <w:lvl w:ilvl="0" w:tplc="D938D550">
      <w:start w:val="1"/>
      <w:numFmt w:val="bullet"/>
      <w:lvlText w:val="-"/>
      <w:lvlJc w:val="left"/>
      <w:pPr>
        <w:ind w:left="1068" w:hanging="360"/>
      </w:pPr>
      <w:rPr>
        <w:rFonts w:ascii="Calibri" w:eastAsia="Calibri" w:hAnsi="Calibri"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3AF757DF"/>
    <w:multiLevelType w:val="hybridMultilevel"/>
    <w:tmpl w:val="A30EC83E"/>
    <w:lvl w:ilvl="0" w:tplc="7B5CFA90">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3E9769CA"/>
    <w:multiLevelType w:val="hybridMultilevel"/>
    <w:tmpl w:val="79B6B10E"/>
    <w:lvl w:ilvl="0" w:tplc="6F184808">
      <w:start w:val="7"/>
      <w:numFmt w:val="decimal"/>
      <w:lvlText w:val="Artikel %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45B288D"/>
    <w:multiLevelType w:val="multilevel"/>
    <w:tmpl w:val="6E1A3394"/>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46AD1944"/>
    <w:multiLevelType w:val="hybridMultilevel"/>
    <w:tmpl w:val="D51A039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4861789A"/>
    <w:multiLevelType w:val="hybridMultilevel"/>
    <w:tmpl w:val="2B8E5FC4"/>
    <w:lvl w:ilvl="0" w:tplc="47B8E6D6">
      <w:start w:val="1"/>
      <w:numFmt w:val="upperRoman"/>
      <w:lvlText w:val="%1."/>
      <w:lvlJc w:val="left"/>
      <w:pPr>
        <w:ind w:left="1440" w:hanging="720"/>
      </w:pPr>
      <w:rPr>
        <w:rFonts w:cs="Times New Roman"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8" w15:restartNumberingAfterBreak="0">
    <w:nsid w:val="49981FC7"/>
    <w:multiLevelType w:val="hybridMultilevel"/>
    <w:tmpl w:val="90ACA012"/>
    <w:lvl w:ilvl="0" w:tplc="706414F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9B73C62"/>
    <w:multiLevelType w:val="hybridMultilevel"/>
    <w:tmpl w:val="55FE5CBA"/>
    <w:lvl w:ilvl="0" w:tplc="A210EDC0">
      <w:start w:val="1"/>
      <w:numFmt w:val="decimal"/>
      <w:lvlText w:val="Artikel %1."/>
      <w:lvlJc w:val="left"/>
      <w:pPr>
        <w:ind w:left="360" w:hanging="360"/>
      </w:pPr>
      <w:rPr>
        <w:rFonts w:hint="default"/>
        <w:b/>
        <w:bCs/>
        <w:strike w:val="0"/>
        <w:sz w:val="20"/>
        <w:szCs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F301B54"/>
    <w:multiLevelType w:val="hybridMultilevel"/>
    <w:tmpl w:val="5A8C3DB2"/>
    <w:lvl w:ilvl="0" w:tplc="93B87BE6">
      <w:start w:val="8"/>
      <w:numFmt w:val="decimal"/>
      <w:lvlText w:val="Artikel %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A6402EE"/>
    <w:multiLevelType w:val="hybridMultilevel"/>
    <w:tmpl w:val="0772E12E"/>
    <w:lvl w:ilvl="0" w:tplc="DCF2AA0C">
      <w:start w:val="1"/>
      <w:numFmt w:val="upperRoman"/>
      <w:lvlText w:val="%1."/>
      <w:lvlJc w:val="left"/>
      <w:pPr>
        <w:ind w:left="1428" w:hanging="72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5B3428CC"/>
    <w:multiLevelType w:val="hybridMultilevel"/>
    <w:tmpl w:val="9E64ED1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5D780C61"/>
    <w:multiLevelType w:val="hybridMultilevel"/>
    <w:tmpl w:val="3092E208"/>
    <w:lvl w:ilvl="0" w:tplc="037A969E">
      <w:start w:val="1"/>
      <w:numFmt w:val="decimal"/>
      <w:lvlText w:val="Artikel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F3427CA"/>
    <w:multiLevelType w:val="hybridMultilevel"/>
    <w:tmpl w:val="5B4841E6"/>
    <w:lvl w:ilvl="0" w:tplc="28F0D64C">
      <w:start w:val="1"/>
      <w:numFmt w:val="decimal"/>
      <w:lvlText w:val="Artikel %1."/>
      <w:lvlJc w:val="left"/>
      <w:pPr>
        <w:ind w:left="720" w:hanging="360"/>
      </w:pPr>
      <w:rPr>
        <w:rFonts w:hint="default"/>
        <w:b/>
        <w:bCs/>
        <w:strike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663A0B9C"/>
    <w:multiLevelType w:val="hybridMultilevel"/>
    <w:tmpl w:val="5F8E1F46"/>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CDF7008"/>
    <w:multiLevelType w:val="hybridMultilevel"/>
    <w:tmpl w:val="616E3752"/>
    <w:lvl w:ilvl="0" w:tplc="037A969E">
      <w:start w:val="1"/>
      <w:numFmt w:val="decimal"/>
      <w:lvlText w:val="Artikel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71C13A1B"/>
    <w:multiLevelType w:val="hybridMultilevel"/>
    <w:tmpl w:val="14CE96C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74C45765"/>
    <w:multiLevelType w:val="hybridMultilevel"/>
    <w:tmpl w:val="88AE1CA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6B01158"/>
    <w:multiLevelType w:val="hybridMultilevel"/>
    <w:tmpl w:val="3ADED09A"/>
    <w:lvl w:ilvl="0" w:tplc="2190D96A">
      <w:start w:val="1"/>
      <w:numFmt w:val="decimal"/>
      <w:pStyle w:val="Opmaakprofiel1"/>
      <w:lvlText w:val="%1."/>
      <w:lvlJc w:val="left"/>
      <w:pPr>
        <w:tabs>
          <w:tab w:val="num" w:pos="720"/>
        </w:tabs>
        <w:ind w:left="720" w:hanging="360"/>
      </w:pPr>
      <w:rPr>
        <w:rFonts w:hint="default"/>
      </w:rPr>
    </w:lvl>
    <w:lvl w:ilvl="1" w:tplc="0413000F">
      <w:start w:val="1"/>
      <w:numFmt w:val="decimal"/>
      <w:lvlText w:val="%2."/>
      <w:lvlJc w:val="left"/>
      <w:pPr>
        <w:tabs>
          <w:tab w:val="num" w:pos="1440"/>
        </w:tabs>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0" w15:restartNumberingAfterBreak="0">
    <w:nsid w:val="79452E33"/>
    <w:multiLevelType w:val="hybridMultilevel"/>
    <w:tmpl w:val="5230603A"/>
    <w:lvl w:ilvl="0" w:tplc="037A969E">
      <w:start w:val="1"/>
      <w:numFmt w:val="decimal"/>
      <w:lvlText w:val="Artikel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28551584">
    <w:abstractNumId w:val="29"/>
  </w:num>
  <w:num w:numId="2" w16cid:durableId="2097050963">
    <w:abstractNumId w:val="15"/>
  </w:num>
  <w:num w:numId="3" w16cid:durableId="305553058">
    <w:abstractNumId w:val="19"/>
  </w:num>
  <w:num w:numId="4" w16cid:durableId="519315365">
    <w:abstractNumId w:val="18"/>
  </w:num>
  <w:num w:numId="5" w16cid:durableId="1475172849">
    <w:abstractNumId w:val="28"/>
  </w:num>
  <w:num w:numId="6" w16cid:durableId="1661150386">
    <w:abstractNumId w:val="2"/>
  </w:num>
  <w:num w:numId="7" w16cid:durableId="1501384982">
    <w:abstractNumId w:val="21"/>
  </w:num>
  <w:num w:numId="8" w16cid:durableId="829829831">
    <w:abstractNumId w:val="10"/>
  </w:num>
  <w:num w:numId="9" w16cid:durableId="242033046">
    <w:abstractNumId w:val="7"/>
  </w:num>
  <w:num w:numId="10" w16cid:durableId="582180118">
    <w:abstractNumId w:val="23"/>
  </w:num>
  <w:num w:numId="11" w16cid:durableId="762216377">
    <w:abstractNumId w:val="13"/>
  </w:num>
  <w:num w:numId="12" w16cid:durableId="1423453869">
    <w:abstractNumId w:val="25"/>
  </w:num>
  <w:num w:numId="13" w16cid:durableId="2078280152">
    <w:abstractNumId w:val="5"/>
  </w:num>
  <w:num w:numId="14" w16cid:durableId="1055007818">
    <w:abstractNumId w:val="26"/>
  </w:num>
  <w:num w:numId="15" w16cid:durableId="482284571">
    <w:abstractNumId w:val="30"/>
  </w:num>
  <w:num w:numId="16" w16cid:durableId="328754677">
    <w:abstractNumId w:val="8"/>
  </w:num>
  <w:num w:numId="17" w16cid:durableId="1637103292">
    <w:abstractNumId w:val="4"/>
  </w:num>
  <w:num w:numId="18" w16cid:durableId="1927497997">
    <w:abstractNumId w:val="11"/>
  </w:num>
  <w:num w:numId="19" w16cid:durableId="1576014363">
    <w:abstractNumId w:val="14"/>
  </w:num>
  <w:num w:numId="20" w16cid:durableId="1754164192">
    <w:abstractNumId w:val="9"/>
  </w:num>
  <w:num w:numId="21" w16cid:durableId="1466697556">
    <w:abstractNumId w:val="20"/>
  </w:num>
  <w:num w:numId="22" w16cid:durableId="478152565">
    <w:abstractNumId w:val="1"/>
  </w:num>
  <w:num w:numId="23" w16cid:durableId="1209952212">
    <w:abstractNumId w:val="0"/>
  </w:num>
  <w:num w:numId="24" w16cid:durableId="1349672199">
    <w:abstractNumId w:val="6"/>
  </w:num>
  <w:num w:numId="25" w16cid:durableId="2057314604">
    <w:abstractNumId w:val="24"/>
  </w:num>
  <w:num w:numId="26" w16cid:durableId="390740526">
    <w:abstractNumId w:val="12"/>
  </w:num>
  <w:num w:numId="27" w16cid:durableId="11761879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5300648">
    <w:abstractNumId w:val="27"/>
  </w:num>
  <w:num w:numId="29" w16cid:durableId="1000818176">
    <w:abstractNumId w:val="17"/>
  </w:num>
  <w:num w:numId="30" w16cid:durableId="847058149">
    <w:abstractNumId w:val="16"/>
  </w:num>
  <w:num w:numId="31" w16cid:durableId="1656492281">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3490"/>
    <o:shapelayout v:ext="edit">
      <o:idmap v:ext="edit" data="6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humbnailPath" w:val="C:\Users\f.kamstra\AppData\Local\Temp\tmp1540.png"/>
  </w:docVars>
  <w:rsids>
    <w:rsidRoot w:val="00903C6D"/>
    <w:rsid w:val="00004037"/>
    <w:rsid w:val="00011A94"/>
    <w:rsid w:val="0001201B"/>
    <w:rsid w:val="000143DF"/>
    <w:rsid w:val="00014E10"/>
    <w:rsid w:val="000208C6"/>
    <w:rsid w:val="00023F37"/>
    <w:rsid w:val="0003579E"/>
    <w:rsid w:val="00035A6B"/>
    <w:rsid w:val="00035D0B"/>
    <w:rsid w:val="00042753"/>
    <w:rsid w:val="00057AD7"/>
    <w:rsid w:val="000704CC"/>
    <w:rsid w:val="000852E7"/>
    <w:rsid w:val="00086097"/>
    <w:rsid w:val="00094E5A"/>
    <w:rsid w:val="000A5075"/>
    <w:rsid w:val="000A6E3A"/>
    <w:rsid w:val="000A73DB"/>
    <w:rsid w:val="000B0DCD"/>
    <w:rsid w:val="000B7E7D"/>
    <w:rsid w:val="000C1B64"/>
    <w:rsid w:val="000C605B"/>
    <w:rsid w:val="000C7A3C"/>
    <w:rsid w:val="000D1334"/>
    <w:rsid w:val="000D239D"/>
    <w:rsid w:val="000D291F"/>
    <w:rsid w:val="000D3BB2"/>
    <w:rsid w:val="000E4F0D"/>
    <w:rsid w:val="000F236D"/>
    <w:rsid w:val="000F741D"/>
    <w:rsid w:val="00105997"/>
    <w:rsid w:val="0010753E"/>
    <w:rsid w:val="00110869"/>
    <w:rsid w:val="00113A64"/>
    <w:rsid w:val="001146A3"/>
    <w:rsid w:val="0011552E"/>
    <w:rsid w:val="001219C9"/>
    <w:rsid w:val="00131CA6"/>
    <w:rsid w:val="00142CFD"/>
    <w:rsid w:val="00146337"/>
    <w:rsid w:val="0015008E"/>
    <w:rsid w:val="00156147"/>
    <w:rsid w:val="00156A8A"/>
    <w:rsid w:val="00162708"/>
    <w:rsid w:val="00175E1A"/>
    <w:rsid w:val="00184949"/>
    <w:rsid w:val="00193D0F"/>
    <w:rsid w:val="001A4D59"/>
    <w:rsid w:val="001A6E39"/>
    <w:rsid w:val="001B08CC"/>
    <w:rsid w:val="001B6116"/>
    <w:rsid w:val="001B6396"/>
    <w:rsid w:val="001D01D9"/>
    <w:rsid w:val="001D3FCC"/>
    <w:rsid w:val="001F085A"/>
    <w:rsid w:val="001F1B2E"/>
    <w:rsid w:val="001F5840"/>
    <w:rsid w:val="00205247"/>
    <w:rsid w:val="00205DB5"/>
    <w:rsid w:val="002126A4"/>
    <w:rsid w:val="002154CF"/>
    <w:rsid w:val="0021632D"/>
    <w:rsid w:val="00234B48"/>
    <w:rsid w:val="0024076D"/>
    <w:rsid w:val="00246975"/>
    <w:rsid w:val="002508AC"/>
    <w:rsid w:val="00251A49"/>
    <w:rsid w:val="00254E82"/>
    <w:rsid w:val="0025660B"/>
    <w:rsid w:val="002579E9"/>
    <w:rsid w:val="002671D4"/>
    <w:rsid w:val="0026744A"/>
    <w:rsid w:val="00267CA9"/>
    <w:rsid w:val="00271EB6"/>
    <w:rsid w:val="002862C5"/>
    <w:rsid w:val="002911D8"/>
    <w:rsid w:val="00297DD3"/>
    <w:rsid w:val="002A000C"/>
    <w:rsid w:val="002A7656"/>
    <w:rsid w:val="002C465C"/>
    <w:rsid w:val="002C5EC6"/>
    <w:rsid w:val="002C747A"/>
    <w:rsid w:val="002D2E14"/>
    <w:rsid w:val="002D35D4"/>
    <w:rsid w:val="002D7CA4"/>
    <w:rsid w:val="00304DA8"/>
    <w:rsid w:val="00310422"/>
    <w:rsid w:val="00324E17"/>
    <w:rsid w:val="003442C5"/>
    <w:rsid w:val="00345B43"/>
    <w:rsid w:val="00374F92"/>
    <w:rsid w:val="00375511"/>
    <w:rsid w:val="00397ECE"/>
    <w:rsid w:val="003A3A7B"/>
    <w:rsid w:val="003A5734"/>
    <w:rsid w:val="003B5476"/>
    <w:rsid w:val="003B60A9"/>
    <w:rsid w:val="003C0BC0"/>
    <w:rsid w:val="003C4970"/>
    <w:rsid w:val="003F6509"/>
    <w:rsid w:val="0040480B"/>
    <w:rsid w:val="00405C13"/>
    <w:rsid w:val="004136EE"/>
    <w:rsid w:val="00423262"/>
    <w:rsid w:val="004275C0"/>
    <w:rsid w:val="00440420"/>
    <w:rsid w:val="00441B2A"/>
    <w:rsid w:val="00445117"/>
    <w:rsid w:val="004461A2"/>
    <w:rsid w:val="00446E21"/>
    <w:rsid w:val="00460573"/>
    <w:rsid w:val="00462A6E"/>
    <w:rsid w:val="00472340"/>
    <w:rsid w:val="00477D21"/>
    <w:rsid w:val="0048161E"/>
    <w:rsid w:val="004868B3"/>
    <w:rsid w:val="00487C0C"/>
    <w:rsid w:val="004A54A6"/>
    <w:rsid w:val="004B54C3"/>
    <w:rsid w:val="004C00DC"/>
    <w:rsid w:val="004D06E4"/>
    <w:rsid w:val="0050123B"/>
    <w:rsid w:val="005031D9"/>
    <w:rsid w:val="0050479B"/>
    <w:rsid w:val="005111E6"/>
    <w:rsid w:val="00515519"/>
    <w:rsid w:val="005156CE"/>
    <w:rsid w:val="00517921"/>
    <w:rsid w:val="00521911"/>
    <w:rsid w:val="00526C53"/>
    <w:rsid w:val="005278FF"/>
    <w:rsid w:val="005454B9"/>
    <w:rsid w:val="00567290"/>
    <w:rsid w:val="00574D7C"/>
    <w:rsid w:val="00580D15"/>
    <w:rsid w:val="0058135D"/>
    <w:rsid w:val="00585DA6"/>
    <w:rsid w:val="005906FB"/>
    <w:rsid w:val="005A03D8"/>
    <w:rsid w:val="005A79A5"/>
    <w:rsid w:val="005B455E"/>
    <w:rsid w:val="005B78D2"/>
    <w:rsid w:val="005C178D"/>
    <w:rsid w:val="005D2E7B"/>
    <w:rsid w:val="005E78D9"/>
    <w:rsid w:val="005F560E"/>
    <w:rsid w:val="0060642F"/>
    <w:rsid w:val="00614D7A"/>
    <w:rsid w:val="00617644"/>
    <w:rsid w:val="006206AD"/>
    <w:rsid w:val="00622024"/>
    <w:rsid w:val="00622EDB"/>
    <w:rsid w:val="00634EDE"/>
    <w:rsid w:val="006446CF"/>
    <w:rsid w:val="00645956"/>
    <w:rsid w:val="00647266"/>
    <w:rsid w:val="00647BF0"/>
    <w:rsid w:val="00660A6D"/>
    <w:rsid w:val="00660C02"/>
    <w:rsid w:val="00664D98"/>
    <w:rsid w:val="00665A1B"/>
    <w:rsid w:val="00666337"/>
    <w:rsid w:val="006732F5"/>
    <w:rsid w:val="006A4C87"/>
    <w:rsid w:val="006A7E6C"/>
    <w:rsid w:val="006B0FE6"/>
    <w:rsid w:val="006C01FD"/>
    <w:rsid w:val="006C24F6"/>
    <w:rsid w:val="006C4ADA"/>
    <w:rsid w:val="006D2903"/>
    <w:rsid w:val="006D29C8"/>
    <w:rsid w:val="006D5B8F"/>
    <w:rsid w:val="006E39D0"/>
    <w:rsid w:val="006E3CC4"/>
    <w:rsid w:val="006E4D7F"/>
    <w:rsid w:val="0070119C"/>
    <w:rsid w:val="00707281"/>
    <w:rsid w:val="00710F2C"/>
    <w:rsid w:val="00717ACC"/>
    <w:rsid w:val="0072750E"/>
    <w:rsid w:val="00745F85"/>
    <w:rsid w:val="00755E52"/>
    <w:rsid w:val="007710C5"/>
    <w:rsid w:val="00775C33"/>
    <w:rsid w:val="00775EAE"/>
    <w:rsid w:val="00776F6B"/>
    <w:rsid w:val="00781B83"/>
    <w:rsid w:val="007859DD"/>
    <w:rsid w:val="00795F3E"/>
    <w:rsid w:val="007A1A38"/>
    <w:rsid w:val="007A4391"/>
    <w:rsid w:val="007A456E"/>
    <w:rsid w:val="007A4A3E"/>
    <w:rsid w:val="007A4BCE"/>
    <w:rsid w:val="007A52F4"/>
    <w:rsid w:val="007B782A"/>
    <w:rsid w:val="007B782E"/>
    <w:rsid w:val="007C18B1"/>
    <w:rsid w:val="007C7568"/>
    <w:rsid w:val="007D31DD"/>
    <w:rsid w:val="007E4DD2"/>
    <w:rsid w:val="007E7281"/>
    <w:rsid w:val="007F0642"/>
    <w:rsid w:val="0080590E"/>
    <w:rsid w:val="008067C9"/>
    <w:rsid w:val="00815BE6"/>
    <w:rsid w:val="008346BC"/>
    <w:rsid w:val="008405FF"/>
    <w:rsid w:val="008450DC"/>
    <w:rsid w:val="00850DF6"/>
    <w:rsid w:val="00851D0D"/>
    <w:rsid w:val="00854A95"/>
    <w:rsid w:val="00856A71"/>
    <w:rsid w:val="00861C05"/>
    <w:rsid w:val="008646A0"/>
    <w:rsid w:val="0086621D"/>
    <w:rsid w:val="00876586"/>
    <w:rsid w:val="00884847"/>
    <w:rsid w:val="00886104"/>
    <w:rsid w:val="008C2E11"/>
    <w:rsid w:val="008C4BE3"/>
    <w:rsid w:val="008C5CDB"/>
    <w:rsid w:val="008D1574"/>
    <w:rsid w:val="008D583E"/>
    <w:rsid w:val="008D5C89"/>
    <w:rsid w:val="008E0782"/>
    <w:rsid w:val="008E161E"/>
    <w:rsid w:val="008E7C69"/>
    <w:rsid w:val="008F0113"/>
    <w:rsid w:val="008F224F"/>
    <w:rsid w:val="008F66FB"/>
    <w:rsid w:val="00903C6D"/>
    <w:rsid w:val="00904B11"/>
    <w:rsid w:val="00910EE2"/>
    <w:rsid w:val="00914BCD"/>
    <w:rsid w:val="00914E3C"/>
    <w:rsid w:val="00917DA1"/>
    <w:rsid w:val="00932921"/>
    <w:rsid w:val="00937EA3"/>
    <w:rsid w:val="009479A9"/>
    <w:rsid w:val="00956D5E"/>
    <w:rsid w:val="00966C30"/>
    <w:rsid w:val="009679BC"/>
    <w:rsid w:val="00973FA7"/>
    <w:rsid w:val="0097544A"/>
    <w:rsid w:val="009813EF"/>
    <w:rsid w:val="00985E56"/>
    <w:rsid w:val="009909F4"/>
    <w:rsid w:val="009915B2"/>
    <w:rsid w:val="009A1552"/>
    <w:rsid w:val="009A3DFF"/>
    <w:rsid w:val="009B4ACE"/>
    <w:rsid w:val="009B66CC"/>
    <w:rsid w:val="009B7561"/>
    <w:rsid w:val="009C2299"/>
    <w:rsid w:val="009D020D"/>
    <w:rsid w:val="009D1B43"/>
    <w:rsid w:val="009D5575"/>
    <w:rsid w:val="009E1677"/>
    <w:rsid w:val="009E3305"/>
    <w:rsid w:val="009F0FD4"/>
    <w:rsid w:val="00A00539"/>
    <w:rsid w:val="00A055D0"/>
    <w:rsid w:val="00A07D8C"/>
    <w:rsid w:val="00A23A06"/>
    <w:rsid w:val="00A24066"/>
    <w:rsid w:val="00A262F2"/>
    <w:rsid w:val="00A33873"/>
    <w:rsid w:val="00A43568"/>
    <w:rsid w:val="00A52D8D"/>
    <w:rsid w:val="00A60AF3"/>
    <w:rsid w:val="00A61C07"/>
    <w:rsid w:val="00A632F5"/>
    <w:rsid w:val="00A7737D"/>
    <w:rsid w:val="00A806FC"/>
    <w:rsid w:val="00A83D52"/>
    <w:rsid w:val="00A93A7D"/>
    <w:rsid w:val="00A95905"/>
    <w:rsid w:val="00AA0F28"/>
    <w:rsid w:val="00AB0706"/>
    <w:rsid w:val="00AB09BE"/>
    <w:rsid w:val="00AB0E48"/>
    <w:rsid w:val="00AB487D"/>
    <w:rsid w:val="00AB5896"/>
    <w:rsid w:val="00AB70CF"/>
    <w:rsid w:val="00AC03C2"/>
    <w:rsid w:val="00AD2924"/>
    <w:rsid w:val="00AD37E8"/>
    <w:rsid w:val="00AF060A"/>
    <w:rsid w:val="00AF3957"/>
    <w:rsid w:val="00AF5C5B"/>
    <w:rsid w:val="00AF74F2"/>
    <w:rsid w:val="00B0041E"/>
    <w:rsid w:val="00B14496"/>
    <w:rsid w:val="00B15280"/>
    <w:rsid w:val="00B15E0C"/>
    <w:rsid w:val="00B32B12"/>
    <w:rsid w:val="00B35A27"/>
    <w:rsid w:val="00B454BF"/>
    <w:rsid w:val="00B47E58"/>
    <w:rsid w:val="00B573CB"/>
    <w:rsid w:val="00B63EFA"/>
    <w:rsid w:val="00B64DB0"/>
    <w:rsid w:val="00B77587"/>
    <w:rsid w:val="00B8243E"/>
    <w:rsid w:val="00B93F76"/>
    <w:rsid w:val="00BA4644"/>
    <w:rsid w:val="00BB180C"/>
    <w:rsid w:val="00BC3932"/>
    <w:rsid w:val="00BC3CB7"/>
    <w:rsid w:val="00BD138B"/>
    <w:rsid w:val="00BD1E87"/>
    <w:rsid w:val="00BD6878"/>
    <w:rsid w:val="00BE2D79"/>
    <w:rsid w:val="00BF52C8"/>
    <w:rsid w:val="00C26B0B"/>
    <w:rsid w:val="00C32013"/>
    <w:rsid w:val="00C3499B"/>
    <w:rsid w:val="00C37079"/>
    <w:rsid w:val="00C46B49"/>
    <w:rsid w:val="00C47B3B"/>
    <w:rsid w:val="00C56EAA"/>
    <w:rsid w:val="00C61CC1"/>
    <w:rsid w:val="00C7334C"/>
    <w:rsid w:val="00C815F2"/>
    <w:rsid w:val="00C83EAF"/>
    <w:rsid w:val="00C92C4C"/>
    <w:rsid w:val="00C973E3"/>
    <w:rsid w:val="00CA58C3"/>
    <w:rsid w:val="00CC4037"/>
    <w:rsid w:val="00CD0687"/>
    <w:rsid w:val="00CE6F8F"/>
    <w:rsid w:val="00CE7491"/>
    <w:rsid w:val="00CF3BA1"/>
    <w:rsid w:val="00CF4066"/>
    <w:rsid w:val="00D0050E"/>
    <w:rsid w:val="00D07F29"/>
    <w:rsid w:val="00D104DD"/>
    <w:rsid w:val="00D10D3C"/>
    <w:rsid w:val="00D20543"/>
    <w:rsid w:val="00D409EF"/>
    <w:rsid w:val="00D53357"/>
    <w:rsid w:val="00D61E67"/>
    <w:rsid w:val="00D70C7E"/>
    <w:rsid w:val="00D75123"/>
    <w:rsid w:val="00D753FD"/>
    <w:rsid w:val="00D7549C"/>
    <w:rsid w:val="00D75E8A"/>
    <w:rsid w:val="00D805F1"/>
    <w:rsid w:val="00D859BF"/>
    <w:rsid w:val="00D87630"/>
    <w:rsid w:val="00D96A2C"/>
    <w:rsid w:val="00DB4ADA"/>
    <w:rsid w:val="00DC0DDB"/>
    <w:rsid w:val="00DC5595"/>
    <w:rsid w:val="00DD03D2"/>
    <w:rsid w:val="00DD1838"/>
    <w:rsid w:val="00DD2F97"/>
    <w:rsid w:val="00DE09FE"/>
    <w:rsid w:val="00DE2779"/>
    <w:rsid w:val="00DE530B"/>
    <w:rsid w:val="00E001C2"/>
    <w:rsid w:val="00E025E7"/>
    <w:rsid w:val="00E02603"/>
    <w:rsid w:val="00E11C11"/>
    <w:rsid w:val="00E136A1"/>
    <w:rsid w:val="00E14B38"/>
    <w:rsid w:val="00E14DD8"/>
    <w:rsid w:val="00E33E7C"/>
    <w:rsid w:val="00E4053A"/>
    <w:rsid w:val="00E46255"/>
    <w:rsid w:val="00E5457B"/>
    <w:rsid w:val="00E56DA5"/>
    <w:rsid w:val="00E64947"/>
    <w:rsid w:val="00E774B1"/>
    <w:rsid w:val="00E813F8"/>
    <w:rsid w:val="00E87753"/>
    <w:rsid w:val="00E9448C"/>
    <w:rsid w:val="00E961AB"/>
    <w:rsid w:val="00EB070A"/>
    <w:rsid w:val="00EB42C0"/>
    <w:rsid w:val="00EB6B7F"/>
    <w:rsid w:val="00EC619D"/>
    <w:rsid w:val="00ED27DB"/>
    <w:rsid w:val="00ED34BF"/>
    <w:rsid w:val="00EE2D4B"/>
    <w:rsid w:val="00EE4D5E"/>
    <w:rsid w:val="00EE5F3B"/>
    <w:rsid w:val="00F054F9"/>
    <w:rsid w:val="00F209E5"/>
    <w:rsid w:val="00F2127C"/>
    <w:rsid w:val="00F22C44"/>
    <w:rsid w:val="00F23F4E"/>
    <w:rsid w:val="00F32E4A"/>
    <w:rsid w:val="00F4349E"/>
    <w:rsid w:val="00F64BF3"/>
    <w:rsid w:val="00F663CF"/>
    <w:rsid w:val="00F67C50"/>
    <w:rsid w:val="00F75D6D"/>
    <w:rsid w:val="00F806AE"/>
    <w:rsid w:val="00F83BEA"/>
    <w:rsid w:val="00F93A27"/>
    <w:rsid w:val="00FA2258"/>
    <w:rsid w:val="00FA7C78"/>
    <w:rsid w:val="00FB5002"/>
    <w:rsid w:val="00FB631E"/>
    <w:rsid w:val="00FC5B78"/>
    <w:rsid w:val="00FC5E04"/>
    <w:rsid w:val="00FC765B"/>
    <w:rsid w:val="00FD2599"/>
    <w:rsid w:val="00FD6EE0"/>
    <w:rsid w:val="00FF3A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90"/>
    <o:shapelayout v:ext="edit">
      <o:idmap v:ext="edit" data="1"/>
    </o:shapelayout>
  </w:shapeDefaults>
  <w:decimalSymbol w:val=","/>
  <w:listSeparator w:val=";"/>
  <w14:docId w14:val="0D28CC40"/>
  <w15:docId w15:val="{EF633754-E5F9-4D5D-8B8C-9ECFCED0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A0F28"/>
    <w:rPr>
      <w:rFonts w:ascii="Arial" w:hAnsi="Arial"/>
    </w:rPr>
  </w:style>
  <w:style w:type="paragraph" w:styleId="Kop1">
    <w:name w:val="heading 1"/>
    <w:basedOn w:val="Standaard"/>
    <w:next w:val="Standaard"/>
    <w:qFormat/>
    <w:pPr>
      <w:keepNext/>
      <w:jc w:val="center"/>
      <w:outlineLvl w:val="0"/>
    </w:pPr>
    <w:rPr>
      <w:rFonts w:ascii="Univers (W1)" w:hAnsi="Univers (W1)"/>
      <w:b/>
      <w:sz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tabs>
        <w:tab w:val="left" w:pos="318"/>
        <w:tab w:val="left" w:pos="709"/>
      </w:tabs>
      <w:ind w:left="705" w:hanging="705"/>
    </w:pPr>
    <w:rPr>
      <w:rFonts w:ascii="Univers" w:hAnsi="Univers"/>
      <w:sz w:val="22"/>
    </w:rPr>
  </w:style>
  <w:style w:type="paragraph" w:styleId="Plattetekstinspringen2">
    <w:name w:val="Body Text Indent 2"/>
    <w:basedOn w:val="Standaard"/>
    <w:pPr>
      <w:ind w:left="709" w:hanging="709"/>
    </w:pPr>
    <w:rPr>
      <w:rFonts w:ascii="Univers (W1)" w:hAnsi="Univers (W1)"/>
      <w:sz w:val="21"/>
    </w:rPr>
  </w:style>
  <w:style w:type="paragraph" w:styleId="Ballontekst">
    <w:name w:val="Balloon Text"/>
    <w:basedOn w:val="Standaard"/>
    <w:semiHidden/>
    <w:rsid w:val="00E5457B"/>
    <w:rPr>
      <w:rFonts w:ascii="Tahoma" w:hAnsi="Tahoma" w:cs="Tahoma"/>
      <w:sz w:val="16"/>
      <w:szCs w:val="16"/>
    </w:rPr>
  </w:style>
  <w:style w:type="paragraph" w:styleId="Koptekst">
    <w:name w:val="header"/>
    <w:basedOn w:val="Standaard"/>
    <w:link w:val="KoptekstChar"/>
    <w:uiPriority w:val="99"/>
    <w:rsid w:val="0021632D"/>
    <w:pPr>
      <w:tabs>
        <w:tab w:val="center" w:pos="4536"/>
        <w:tab w:val="right" w:pos="9072"/>
      </w:tabs>
    </w:pPr>
  </w:style>
  <w:style w:type="paragraph" w:styleId="Voettekst">
    <w:name w:val="footer"/>
    <w:basedOn w:val="Standaard"/>
    <w:link w:val="VoettekstChar"/>
    <w:uiPriority w:val="99"/>
    <w:rsid w:val="0021632D"/>
    <w:pPr>
      <w:tabs>
        <w:tab w:val="center" w:pos="4536"/>
        <w:tab w:val="right" w:pos="9072"/>
      </w:tabs>
    </w:pPr>
  </w:style>
  <w:style w:type="character" w:styleId="Paginanummer">
    <w:name w:val="page number"/>
    <w:basedOn w:val="Standaardalinea-lettertype"/>
    <w:rsid w:val="0021632D"/>
  </w:style>
  <w:style w:type="paragraph" w:customStyle="1" w:styleId="Opmaakprofiel1">
    <w:name w:val="Opmaakprofiel1"/>
    <w:basedOn w:val="Standaardinspringing"/>
    <w:rsid w:val="00AA0F28"/>
    <w:pPr>
      <w:numPr>
        <w:numId w:val="1"/>
      </w:numPr>
    </w:pPr>
    <w:rPr>
      <w:rFonts w:cs="Arial"/>
      <w:szCs w:val="21"/>
    </w:rPr>
  </w:style>
  <w:style w:type="paragraph" w:styleId="Geenafstand">
    <w:name w:val="No Spacing"/>
    <w:uiPriority w:val="1"/>
    <w:qFormat/>
    <w:rsid w:val="00D753FD"/>
    <w:rPr>
      <w:rFonts w:ascii="Arial" w:hAnsi="Arial"/>
    </w:rPr>
  </w:style>
  <w:style w:type="paragraph" w:styleId="Standaardinspringing">
    <w:name w:val="Normal Indent"/>
    <w:basedOn w:val="Standaard"/>
    <w:rsid w:val="00AA0F28"/>
    <w:pPr>
      <w:ind w:left="708"/>
    </w:pPr>
  </w:style>
  <w:style w:type="paragraph" w:styleId="Lijstalinea">
    <w:name w:val="List Paragraph"/>
    <w:basedOn w:val="Standaard"/>
    <w:uiPriority w:val="34"/>
    <w:qFormat/>
    <w:rsid w:val="00745F85"/>
    <w:pPr>
      <w:ind w:left="708"/>
    </w:pPr>
  </w:style>
  <w:style w:type="character" w:styleId="Verwijzingopmerking">
    <w:name w:val="annotation reference"/>
    <w:uiPriority w:val="99"/>
    <w:semiHidden/>
    <w:unhideWhenUsed/>
    <w:rsid w:val="00304DA8"/>
    <w:rPr>
      <w:sz w:val="16"/>
      <w:szCs w:val="16"/>
    </w:rPr>
  </w:style>
  <w:style w:type="paragraph" w:styleId="Tekstopmerking">
    <w:name w:val="annotation text"/>
    <w:basedOn w:val="Standaard"/>
    <w:link w:val="TekstopmerkingChar"/>
    <w:uiPriority w:val="99"/>
    <w:semiHidden/>
    <w:unhideWhenUsed/>
    <w:rsid w:val="00304DA8"/>
    <w:rPr>
      <w:rFonts w:ascii="Times New Roman" w:hAnsi="Times New Roman"/>
    </w:rPr>
  </w:style>
  <w:style w:type="character" w:customStyle="1" w:styleId="TekstopmerkingChar">
    <w:name w:val="Tekst opmerking Char"/>
    <w:basedOn w:val="Standaardalinea-lettertype"/>
    <w:link w:val="Tekstopmerking"/>
    <w:uiPriority w:val="99"/>
    <w:semiHidden/>
    <w:rsid w:val="00304DA8"/>
  </w:style>
  <w:style w:type="character" w:customStyle="1" w:styleId="VoettekstChar">
    <w:name w:val="Voettekst Char"/>
    <w:basedOn w:val="Standaardalinea-lettertype"/>
    <w:link w:val="Voettekst"/>
    <w:uiPriority w:val="99"/>
    <w:rsid w:val="009C2299"/>
    <w:rPr>
      <w:rFonts w:ascii="Arial" w:hAnsi="Arial"/>
    </w:rPr>
  </w:style>
  <w:style w:type="paragraph" w:customStyle="1" w:styleId="Default">
    <w:name w:val="Default"/>
    <w:rsid w:val="00A33873"/>
    <w:pPr>
      <w:autoSpaceDE w:val="0"/>
      <w:autoSpaceDN w:val="0"/>
      <w:adjustRightInd w:val="0"/>
    </w:pPr>
    <w:rPr>
      <w:rFonts w:ascii="Arial" w:eastAsiaTheme="minorHAnsi" w:hAnsi="Arial" w:cs="Arial"/>
      <w:color w:val="000000"/>
      <w:sz w:val="24"/>
      <w:szCs w:val="24"/>
      <w:lang w:eastAsia="en-US"/>
    </w:rPr>
  </w:style>
  <w:style w:type="character" w:styleId="Zwaar">
    <w:name w:val="Strong"/>
    <w:basedOn w:val="Standaardalinea-lettertype"/>
    <w:uiPriority w:val="22"/>
    <w:qFormat/>
    <w:rsid w:val="009D1B43"/>
    <w:rPr>
      <w:b/>
      <w:bCs/>
    </w:rPr>
  </w:style>
  <w:style w:type="paragraph" w:styleId="Normaalweb">
    <w:name w:val="Normal (Web)"/>
    <w:basedOn w:val="Standaard"/>
    <w:uiPriority w:val="99"/>
    <w:semiHidden/>
    <w:unhideWhenUsed/>
    <w:rsid w:val="00D859BF"/>
    <w:pPr>
      <w:spacing w:before="100" w:beforeAutospacing="1" w:after="100" w:afterAutospacing="1"/>
    </w:pPr>
    <w:rPr>
      <w:rFonts w:ascii="Times New Roman" w:hAnsi="Times New Roman"/>
      <w:sz w:val="24"/>
      <w:szCs w:val="24"/>
    </w:rPr>
  </w:style>
  <w:style w:type="character" w:styleId="Hyperlink">
    <w:name w:val="Hyperlink"/>
    <w:basedOn w:val="Standaardalinea-lettertype"/>
    <w:unhideWhenUsed/>
    <w:rsid w:val="00D859BF"/>
    <w:rPr>
      <w:color w:val="0000FF" w:themeColor="hyperlink"/>
      <w:u w:val="single"/>
    </w:rPr>
  </w:style>
  <w:style w:type="character" w:styleId="Onopgelostemelding">
    <w:name w:val="Unresolved Mention"/>
    <w:basedOn w:val="Standaardalinea-lettertype"/>
    <w:uiPriority w:val="99"/>
    <w:semiHidden/>
    <w:unhideWhenUsed/>
    <w:rsid w:val="00D859BF"/>
    <w:rPr>
      <w:color w:val="605E5C"/>
      <w:shd w:val="clear" w:color="auto" w:fill="E1DFDD"/>
    </w:rPr>
  </w:style>
  <w:style w:type="paragraph" w:styleId="Revisie">
    <w:name w:val="Revision"/>
    <w:hidden/>
    <w:uiPriority w:val="99"/>
    <w:semiHidden/>
    <w:rsid w:val="00086097"/>
    <w:rPr>
      <w:rFonts w:ascii="Arial" w:hAnsi="Arial"/>
    </w:rPr>
  </w:style>
  <w:style w:type="character" w:customStyle="1" w:styleId="KoptekstChar">
    <w:name w:val="Koptekst Char"/>
    <w:basedOn w:val="Standaardalinea-lettertype"/>
    <w:link w:val="Koptekst"/>
    <w:uiPriority w:val="99"/>
    <w:rsid w:val="009479A9"/>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7039">
      <w:bodyDiv w:val="1"/>
      <w:marLeft w:val="0"/>
      <w:marRight w:val="0"/>
      <w:marTop w:val="0"/>
      <w:marBottom w:val="0"/>
      <w:divBdr>
        <w:top w:val="none" w:sz="0" w:space="0" w:color="auto"/>
        <w:left w:val="none" w:sz="0" w:space="0" w:color="auto"/>
        <w:bottom w:val="none" w:sz="0" w:space="0" w:color="auto"/>
        <w:right w:val="none" w:sz="0" w:space="0" w:color="auto"/>
      </w:divBdr>
    </w:div>
    <w:div w:id="475687981">
      <w:bodyDiv w:val="1"/>
      <w:marLeft w:val="0"/>
      <w:marRight w:val="0"/>
      <w:marTop w:val="0"/>
      <w:marBottom w:val="0"/>
      <w:divBdr>
        <w:top w:val="none" w:sz="0" w:space="0" w:color="auto"/>
        <w:left w:val="none" w:sz="0" w:space="0" w:color="auto"/>
        <w:bottom w:val="none" w:sz="0" w:space="0" w:color="auto"/>
        <w:right w:val="none" w:sz="0" w:space="0" w:color="auto"/>
      </w:divBdr>
    </w:div>
    <w:div w:id="646394287">
      <w:bodyDiv w:val="1"/>
      <w:marLeft w:val="0"/>
      <w:marRight w:val="0"/>
      <w:marTop w:val="0"/>
      <w:marBottom w:val="0"/>
      <w:divBdr>
        <w:top w:val="none" w:sz="0" w:space="0" w:color="auto"/>
        <w:left w:val="none" w:sz="0" w:space="0" w:color="auto"/>
        <w:bottom w:val="none" w:sz="0" w:space="0" w:color="auto"/>
        <w:right w:val="none" w:sz="0" w:space="0" w:color="auto"/>
      </w:divBdr>
    </w:div>
    <w:div w:id="832531249">
      <w:bodyDiv w:val="1"/>
      <w:marLeft w:val="0"/>
      <w:marRight w:val="0"/>
      <w:marTop w:val="0"/>
      <w:marBottom w:val="0"/>
      <w:divBdr>
        <w:top w:val="none" w:sz="0" w:space="0" w:color="auto"/>
        <w:left w:val="none" w:sz="0" w:space="0" w:color="auto"/>
        <w:bottom w:val="none" w:sz="0" w:space="0" w:color="auto"/>
        <w:right w:val="none" w:sz="0" w:space="0" w:color="auto"/>
      </w:divBdr>
    </w:div>
    <w:div w:id="865219122">
      <w:bodyDiv w:val="1"/>
      <w:marLeft w:val="0"/>
      <w:marRight w:val="0"/>
      <w:marTop w:val="0"/>
      <w:marBottom w:val="0"/>
      <w:divBdr>
        <w:top w:val="none" w:sz="0" w:space="0" w:color="auto"/>
        <w:left w:val="none" w:sz="0" w:space="0" w:color="auto"/>
        <w:bottom w:val="none" w:sz="0" w:space="0" w:color="auto"/>
        <w:right w:val="none" w:sz="0" w:space="0" w:color="auto"/>
      </w:divBdr>
    </w:div>
    <w:div w:id="1379163655">
      <w:bodyDiv w:val="1"/>
      <w:marLeft w:val="0"/>
      <w:marRight w:val="0"/>
      <w:marTop w:val="0"/>
      <w:marBottom w:val="0"/>
      <w:divBdr>
        <w:top w:val="none" w:sz="0" w:space="0" w:color="auto"/>
        <w:left w:val="none" w:sz="0" w:space="0" w:color="auto"/>
        <w:bottom w:val="none" w:sz="0" w:space="0" w:color="auto"/>
        <w:right w:val="none" w:sz="0" w:space="0" w:color="auto"/>
      </w:divBdr>
    </w:div>
    <w:div w:id="1719434462">
      <w:bodyDiv w:val="1"/>
      <w:marLeft w:val="0"/>
      <w:marRight w:val="0"/>
      <w:marTop w:val="0"/>
      <w:marBottom w:val="0"/>
      <w:divBdr>
        <w:top w:val="none" w:sz="0" w:space="0" w:color="auto"/>
        <w:left w:val="none" w:sz="0" w:space="0" w:color="auto"/>
        <w:bottom w:val="none" w:sz="0" w:space="0" w:color="auto"/>
        <w:right w:val="none" w:sz="0" w:space="0" w:color="auto"/>
      </w:divBdr>
    </w:div>
    <w:div w:id="211427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jablonen\Grondverkoop\K%20O%20O%20P%20O%20V%20E%20R%20E%20E%20EN%20K%20O%20M%20S%20T.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9B8C5-CB38-476C-BEEA-89D3EFF0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 O O P O V E R E E EN K O M S T</Template>
  <TotalTime>20</TotalTime>
  <Pages>3</Pages>
  <Words>1175</Words>
  <Characters>6864</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K O O P O V E R E E EN K O M S T</vt:lpstr>
    </vt:vector>
  </TitlesOfParts>
  <Company>Gemeente Kollumerland</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O O P O V E R E E EN K O M S T</dc:title>
  <dc:creator>Louis Feitsma</dc:creator>
  <cp:lastModifiedBy>Feenstra, Daan</cp:lastModifiedBy>
  <cp:revision>5</cp:revision>
  <cp:lastPrinted>2023-12-21T15:36:00Z</cp:lastPrinted>
  <dcterms:created xsi:type="dcterms:W3CDTF">2024-11-01T07:44:00Z</dcterms:created>
  <dcterms:modified xsi:type="dcterms:W3CDTF">2025-01-13T06:55:00Z</dcterms:modified>
</cp:coreProperties>
</file>